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D127" w14:textId="77777777" w:rsidR="00F55427" w:rsidRPr="00F55427" w:rsidRDefault="00F55427" w:rsidP="00F5542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55427">
        <w:rPr>
          <w:rFonts w:ascii="Times New Roman" w:eastAsia="Times New Roman" w:hAnsi="Times New Roman" w:cs="Times New Roman"/>
          <w:b/>
          <w:bCs/>
          <w:kern w:val="0"/>
          <w:sz w:val="27"/>
          <w:szCs w:val="27"/>
          <w14:ligatures w14:val="none"/>
        </w:rPr>
        <w:t>What is Digital Literacy?</w:t>
      </w:r>
    </w:p>
    <w:p w14:paraId="3EBDD1F6" w14:textId="216E7E0D" w:rsidR="00F55427" w:rsidRPr="00F55427" w:rsidRDefault="00F55427" w:rsidP="00F55427">
      <w:p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 xml:space="preserve">Digital literacy refers to the ability to effectively and critically use digital tools and technologies to find, evaluate, create, and share information. It combines </w:t>
      </w:r>
      <w:r w:rsidRPr="00F55427">
        <w:rPr>
          <w:rFonts w:ascii="Times New Roman" w:eastAsia="Times New Roman" w:hAnsi="Times New Roman" w:cs="Times New Roman"/>
          <w:b/>
          <w:bCs/>
          <w:kern w:val="0"/>
          <w14:ligatures w14:val="none"/>
        </w:rPr>
        <w:t>technical skills</w:t>
      </w:r>
      <w:r w:rsidRPr="00F55427">
        <w:rPr>
          <w:rFonts w:ascii="Times New Roman" w:eastAsia="Times New Roman" w:hAnsi="Times New Roman" w:cs="Times New Roman"/>
          <w:kern w:val="0"/>
          <w14:ligatures w14:val="none"/>
        </w:rPr>
        <w:t xml:space="preserve"> (like using devices and software) with </w:t>
      </w:r>
      <w:r w:rsidRPr="00F55427">
        <w:rPr>
          <w:rFonts w:ascii="Times New Roman" w:eastAsia="Times New Roman" w:hAnsi="Times New Roman" w:cs="Times New Roman"/>
          <w:b/>
          <w:bCs/>
          <w:kern w:val="0"/>
          <w14:ligatures w14:val="none"/>
        </w:rPr>
        <w:t>cognitive abilities</w:t>
      </w:r>
      <w:r w:rsidRPr="00F55427">
        <w:rPr>
          <w:rFonts w:ascii="Times New Roman" w:eastAsia="Times New Roman" w:hAnsi="Times New Roman" w:cs="Times New Roman"/>
          <w:kern w:val="0"/>
          <w14:ligatures w14:val="none"/>
        </w:rPr>
        <w:t xml:space="preserve"> (such as critical thinking and problem-solving) to navigate the digital world responsibly and effectively. It also involves understanding the social, ethical, and political implications of technology use.</w:t>
      </w:r>
    </w:p>
    <w:p w14:paraId="132C9513" w14:textId="26E68514" w:rsidR="00F55427" w:rsidRPr="00F55427" w:rsidRDefault="00F55427" w:rsidP="00F55427">
      <w:p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In essence, digital literacy is not just about knowing how to use technology but also about understanding its impact and leveraging it to achieve personal, educational, and professional goals.</w:t>
      </w:r>
    </w:p>
    <w:p w14:paraId="305FB10D" w14:textId="77777777" w:rsidR="00F55427" w:rsidRPr="00F55427" w:rsidRDefault="00000000" w:rsidP="00F554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0F2237">
          <v:rect id="_x0000_i1025" style="width:0;height:1.5pt" o:hralign="center" o:hrstd="t" o:hr="t" fillcolor="#a0a0a0" stroked="f"/>
        </w:pict>
      </w:r>
    </w:p>
    <w:p w14:paraId="62180D92" w14:textId="77777777" w:rsidR="00F55427" w:rsidRPr="00F55427" w:rsidRDefault="00F55427" w:rsidP="00F5542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55427">
        <w:rPr>
          <w:rFonts w:ascii="Times New Roman" w:eastAsia="Times New Roman" w:hAnsi="Times New Roman" w:cs="Times New Roman"/>
          <w:b/>
          <w:bCs/>
          <w:kern w:val="0"/>
          <w:sz w:val="27"/>
          <w:szCs w:val="27"/>
          <w14:ligatures w14:val="none"/>
        </w:rPr>
        <w:t>How Digital Literacy Helps with Technology Use and Implementation</w:t>
      </w:r>
    </w:p>
    <w:p w14:paraId="4FCD8FAD" w14:textId="77777777" w:rsidR="00F55427" w:rsidRPr="00F55427" w:rsidRDefault="00F55427" w:rsidP="00F55427">
      <w:p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plays a critical role in the effective use and implementation of technology. Here’s how:</w:t>
      </w:r>
    </w:p>
    <w:p w14:paraId="1C0DC06F"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1. Enhances Technology Adoption</w:t>
      </w:r>
    </w:p>
    <w:p w14:paraId="569C1AF8" w14:textId="748C0743" w:rsidR="00F55427" w:rsidRPr="00F55427" w:rsidRDefault="00F55427" w:rsidP="00F5542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helps individuals and organizations overcome barriers to adopting new technologies by building confidence and competence in using digital tools.</w:t>
      </w:r>
    </w:p>
    <w:p w14:paraId="3DC38239" w14:textId="3AFF7B9E" w:rsidR="00F55427" w:rsidRPr="00F55427" w:rsidRDefault="00F55427" w:rsidP="00F5542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For example, training in digital literacy can narrow the skills gap, making it easier for people to adopt and use emerging technologies in workplaces, schools, and communities.</w:t>
      </w:r>
    </w:p>
    <w:p w14:paraId="10678E4A"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2. Improves Problem-Solving and Critical Thinking</w:t>
      </w:r>
    </w:p>
    <w:p w14:paraId="6FCA6E98" w14:textId="763633FD" w:rsidR="00F55427" w:rsidRPr="00F55427" w:rsidRDefault="00F55427" w:rsidP="00F5542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equips users with the ability to critically evaluate information and tools, ensuring they choose the right technologies for specific tasks.</w:t>
      </w:r>
    </w:p>
    <w:p w14:paraId="4401A286" w14:textId="77777777" w:rsidR="00F55427" w:rsidRPr="00F55427" w:rsidRDefault="00F55427" w:rsidP="00F5542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It also fosters problem-solving skills, enabling users to troubleshoot issues and adapt to new systems more effectively.</w:t>
      </w:r>
    </w:p>
    <w:p w14:paraId="0DC4B856"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3. Facilitates Better Communication and Collaboration</w:t>
      </w:r>
    </w:p>
    <w:p w14:paraId="4EE083EC" w14:textId="673B4AB9" w:rsidR="00F55427" w:rsidRPr="00F55427" w:rsidRDefault="00F55427" w:rsidP="00F5542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With digital literacy, individuals can use communication platforms (e.g., email, video conferencing, and collaborative tools) more effectively, improving teamwork and productivity.</w:t>
      </w:r>
    </w:p>
    <w:p w14:paraId="1631D5EB" w14:textId="77777777" w:rsidR="00F55427" w:rsidRPr="00F55427" w:rsidRDefault="00F55427" w:rsidP="00F5542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It also enables organizations to engage with stakeholders, customers, or citizens through digital channels.</w:t>
      </w:r>
    </w:p>
    <w:p w14:paraId="10E86267"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4. Supports Lifelong Learning</w:t>
      </w:r>
    </w:p>
    <w:p w14:paraId="3E13CE94" w14:textId="68AE7C16" w:rsidR="00F55427" w:rsidRPr="00F55427" w:rsidRDefault="00F55427" w:rsidP="00F5542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encourages continuous learning by enabling individuals to access online resources, courses, and communities to stay updated with technological advancements.</w:t>
      </w:r>
    </w:p>
    <w:p w14:paraId="18E8D058" w14:textId="77777777" w:rsidR="00F55427" w:rsidRPr="00F55427" w:rsidRDefault="00F55427" w:rsidP="00F5542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lastRenderedPageBreak/>
        <w:t>This is particularly important in rapidly evolving fields like education, healthcare, and business.</w:t>
      </w:r>
    </w:p>
    <w:p w14:paraId="368D8BDF"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5. Promotes Inclusion and Equity</w:t>
      </w:r>
    </w:p>
    <w:p w14:paraId="6F3BC3EC" w14:textId="08DB52E1" w:rsidR="00F55427" w:rsidRPr="00F55427" w:rsidRDefault="00F55427" w:rsidP="00F5542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By teaching digital literacy, organizations can bridge the digital divide, ensuring that underserved populations have access to technology and the skills to use it.</w:t>
      </w:r>
    </w:p>
    <w:p w14:paraId="62D833BC" w14:textId="77777777" w:rsidR="00F55427" w:rsidRPr="00F55427" w:rsidRDefault="00F55427" w:rsidP="00F5542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This is especially critical for marginalized groups, such as rural communities or older adults, who may lack exposure to digital tools.</w:t>
      </w:r>
    </w:p>
    <w:p w14:paraId="1B45AF02"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6. Drives Innovation and Creativity</w:t>
      </w:r>
    </w:p>
    <w:p w14:paraId="5B578EEE" w14:textId="61073104" w:rsidR="00F55427" w:rsidRPr="00F55427" w:rsidRDefault="00F55427" w:rsidP="00F5542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empowers users to create digital content, such as presentations, videos, and apps, fostering innovation and creativity.</w:t>
      </w:r>
    </w:p>
    <w:p w14:paraId="49132AEF" w14:textId="77777777" w:rsidR="00F55427" w:rsidRPr="00F55427" w:rsidRDefault="00F55427" w:rsidP="00F5542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It also enables organizations to leverage technology for new solutions, such as automating processes or developing digital services.</w:t>
      </w:r>
    </w:p>
    <w:p w14:paraId="7F62F0EE"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7. Ensures Ethical and Responsible Technology Use</w:t>
      </w:r>
    </w:p>
    <w:p w14:paraId="11C1E010" w14:textId="6BF057E4" w:rsidR="00F55427" w:rsidRPr="00F55427" w:rsidRDefault="00F55427" w:rsidP="00F5542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includes understanding the ethical implications of technology, such as data privacy, cybersecurity, and responsible online behavior.</w:t>
      </w:r>
    </w:p>
    <w:p w14:paraId="55BD7431" w14:textId="77777777" w:rsidR="00F55427" w:rsidRPr="00F55427" w:rsidRDefault="00F55427" w:rsidP="00F5542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This helps individuals and organizations use technology in ways that are safe, secure, and aligned with societal values.</w:t>
      </w:r>
    </w:p>
    <w:p w14:paraId="601F6659" w14:textId="77777777" w:rsidR="00F55427" w:rsidRPr="00F55427" w:rsidRDefault="00F55427" w:rsidP="00F5542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55427">
        <w:rPr>
          <w:rFonts w:ascii="Times New Roman" w:eastAsia="Times New Roman" w:hAnsi="Times New Roman" w:cs="Times New Roman"/>
          <w:b/>
          <w:bCs/>
          <w:kern w:val="0"/>
          <w14:ligatures w14:val="none"/>
        </w:rPr>
        <w:t>8. Boosts Career Readiness and Workforce Development</w:t>
      </w:r>
    </w:p>
    <w:p w14:paraId="2FA64969" w14:textId="7E68C62D" w:rsidR="00F55427" w:rsidRPr="00F55427" w:rsidRDefault="00F55427" w:rsidP="00F5542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In today’s job market, digital literacy is a fundamental skill for career readiness. It enables individuals to use workplace technologies, such as project management tools, data analysis software, and communication platforms.</w:t>
      </w:r>
    </w:p>
    <w:p w14:paraId="195B1C43" w14:textId="77777777" w:rsidR="00F55427" w:rsidRPr="00F55427" w:rsidRDefault="00F55427" w:rsidP="00F5542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Organizations benefit from a digitally literate workforce that can adapt to new tools and processes quickly.</w:t>
      </w:r>
    </w:p>
    <w:p w14:paraId="5757E505" w14:textId="77777777" w:rsidR="00F55427" w:rsidRPr="00F55427" w:rsidRDefault="00000000" w:rsidP="00F554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A0501B">
          <v:rect id="_x0000_i1026" style="width:0;height:1.5pt" o:hralign="center" o:hrstd="t" o:hr="t" fillcolor="#a0a0a0" stroked="f"/>
        </w:pict>
      </w:r>
    </w:p>
    <w:p w14:paraId="61F9D0DF" w14:textId="77777777" w:rsidR="00F55427" w:rsidRPr="00F55427" w:rsidRDefault="00F55427" w:rsidP="00F5542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55427">
        <w:rPr>
          <w:rFonts w:ascii="Times New Roman" w:eastAsia="Times New Roman" w:hAnsi="Times New Roman" w:cs="Times New Roman"/>
          <w:b/>
          <w:bCs/>
          <w:kern w:val="0"/>
          <w:sz w:val="27"/>
          <w:szCs w:val="27"/>
          <w14:ligatures w14:val="none"/>
        </w:rPr>
        <w:t>Conclusion</w:t>
      </w:r>
    </w:p>
    <w:p w14:paraId="47CEF5F8" w14:textId="77777777" w:rsidR="00F55427" w:rsidRPr="00F55427" w:rsidRDefault="00F55427" w:rsidP="00F55427">
      <w:pPr>
        <w:spacing w:before="100" w:beforeAutospacing="1" w:after="100" w:afterAutospacing="1" w:line="240" w:lineRule="auto"/>
        <w:rPr>
          <w:rFonts w:ascii="Times New Roman" w:eastAsia="Times New Roman" w:hAnsi="Times New Roman" w:cs="Times New Roman"/>
          <w:kern w:val="0"/>
          <w14:ligatures w14:val="none"/>
        </w:rPr>
      </w:pPr>
      <w:r w:rsidRPr="00F55427">
        <w:rPr>
          <w:rFonts w:ascii="Times New Roman" w:eastAsia="Times New Roman" w:hAnsi="Times New Roman" w:cs="Times New Roman"/>
          <w:kern w:val="0"/>
          <w14:ligatures w14:val="none"/>
        </w:rPr>
        <w:t>Digital literacy is a foundational skill in the modern world, enabling individuals and organizations to use technology effectively, responsibly, and innovatively. It enhances technology adoption, fosters critical thinking, and bridges the digital divide, making it a key driver of personal, professional, and societal progress. By investing in digital literacy, communities and organizations can ensure that technology is implemented in ways that maximize its benefits while minimizing its challenges.</w:t>
      </w:r>
    </w:p>
    <w:p w14:paraId="27811E94" w14:textId="77777777" w:rsidR="00F55427" w:rsidRDefault="00F55427" w:rsidP="00F55427">
      <w:pPr>
        <w:rPr>
          <w:b/>
          <w:bCs/>
        </w:rPr>
      </w:pPr>
    </w:p>
    <w:p w14:paraId="615A5CE7" w14:textId="77777777" w:rsidR="00F55427" w:rsidRDefault="00F55427">
      <w:pPr>
        <w:rPr>
          <w:b/>
          <w:bCs/>
        </w:rPr>
      </w:pPr>
      <w:r>
        <w:rPr>
          <w:b/>
          <w:bCs/>
        </w:rPr>
        <w:br w:type="page"/>
      </w:r>
    </w:p>
    <w:p w14:paraId="2163F710" w14:textId="1F7EDFBF" w:rsidR="00F55427" w:rsidRPr="00F55427" w:rsidRDefault="00F55427" w:rsidP="00F55427">
      <w:pPr>
        <w:rPr>
          <w:b/>
          <w:bCs/>
        </w:rPr>
      </w:pPr>
      <w:r w:rsidRPr="00F55427">
        <w:rPr>
          <w:b/>
          <w:bCs/>
        </w:rPr>
        <w:lastRenderedPageBreak/>
        <w:t>Barriers to Adopting and Understanding Digital Literacy</w:t>
      </w:r>
    </w:p>
    <w:p w14:paraId="1309F197" w14:textId="77777777" w:rsidR="00F55427" w:rsidRPr="00F55427" w:rsidRDefault="00F55427" w:rsidP="00F55427">
      <w:r w:rsidRPr="00F55427">
        <w:t>Digital literacy is essential for navigating the modern world, but many individuals and organizations face significant barriers to adopting and understanding it. These barriers can be categorized into several key areas:</w:t>
      </w:r>
    </w:p>
    <w:p w14:paraId="7F85D9FC" w14:textId="77777777" w:rsidR="00F55427" w:rsidRPr="00F55427" w:rsidRDefault="00000000" w:rsidP="00F55427">
      <w:r>
        <w:pict w14:anchorId="527CEFF2">
          <v:rect id="_x0000_i1027" style="width:0;height:1.5pt" o:hralign="center" o:hrstd="t" o:hr="t" fillcolor="#a0a0a0" stroked="f"/>
        </w:pict>
      </w:r>
    </w:p>
    <w:p w14:paraId="4D089839" w14:textId="77777777" w:rsidR="00F55427" w:rsidRPr="00F55427" w:rsidRDefault="00F55427" w:rsidP="00F55427">
      <w:pPr>
        <w:rPr>
          <w:b/>
          <w:bCs/>
        </w:rPr>
      </w:pPr>
      <w:r w:rsidRPr="00F55427">
        <w:rPr>
          <w:b/>
          <w:bCs/>
        </w:rPr>
        <w:t>1. Lack of Access to Technology and Internet (The Digital Divide)</w:t>
      </w:r>
    </w:p>
    <w:p w14:paraId="5DC4B053" w14:textId="34D3A4E2" w:rsidR="00F55427" w:rsidRPr="00F55427" w:rsidRDefault="00F55427" w:rsidP="00F55427">
      <w:pPr>
        <w:numPr>
          <w:ilvl w:val="0"/>
          <w:numId w:val="1"/>
        </w:numPr>
      </w:pPr>
      <w:r w:rsidRPr="00F55427">
        <w:rPr>
          <w:b/>
          <w:bCs/>
        </w:rPr>
        <w:t>Access Gap</w:t>
      </w:r>
      <w:r w:rsidRPr="00F55427">
        <w:t>: Many people, especially in underserved communities, lack access to the necessary hardware (e.g., computers, smartphones) and reliable internet connections. This is a foundational barrier that prevents individuals from even beginning to engage with digital tools.</w:t>
      </w:r>
    </w:p>
    <w:p w14:paraId="5DAD5663" w14:textId="1487B266" w:rsidR="00F55427" w:rsidRPr="00F55427" w:rsidRDefault="00F55427" w:rsidP="00F55427">
      <w:pPr>
        <w:numPr>
          <w:ilvl w:val="0"/>
          <w:numId w:val="1"/>
        </w:numPr>
      </w:pPr>
      <w:r w:rsidRPr="00F55427">
        <w:rPr>
          <w:b/>
          <w:bCs/>
        </w:rPr>
        <w:t>Economic Cost</w:t>
      </w:r>
      <w:r w:rsidRPr="00F55427">
        <w:t>: High costs of devices, software, and internet services make digital literacy inaccessible for low-income populations.</w:t>
      </w:r>
    </w:p>
    <w:p w14:paraId="5DD805EE" w14:textId="77777777" w:rsidR="00F55427" w:rsidRPr="00F55427" w:rsidRDefault="00000000" w:rsidP="00F55427">
      <w:r>
        <w:pict w14:anchorId="1E0DEBBC">
          <v:rect id="_x0000_i1028" style="width:0;height:1.5pt" o:hralign="center" o:hrstd="t" o:hr="t" fillcolor="#a0a0a0" stroked="f"/>
        </w:pict>
      </w:r>
    </w:p>
    <w:p w14:paraId="43685FDD" w14:textId="77777777" w:rsidR="00F55427" w:rsidRPr="00F55427" w:rsidRDefault="00F55427" w:rsidP="00F55427">
      <w:pPr>
        <w:rPr>
          <w:b/>
          <w:bCs/>
        </w:rPr>
      </w:pPr>
      <w:r w:rsidRPr="00F55427">
        <w:rPr>
          <w:b/>
          <w:bCs/>
        </w:rPr>
        <w:t>2. Skills Gap and Lack of Fundamental Knowledge</w:t>
      </w:r>
    </w:p>
    <w:p w14:paraId="16328A6A" w14:textId="366943ED" w:rsidR="00F55427" w:rsidRPr="00F55427" w:rsidRDefault="00F55427" w:rsidP="00F55427">
      <w:pPr>
        <w:numPr>
          <w:ilvl w:val="0"/>
          <w:numId w:val="2"/>
        </w:numPr>
      </w:pPr>
      <w:r w:rsidRPr="00F55427">
        <w:rPr>
          <w:b/>
          <w:bCs/>
        </w:rPr>
        <w:t>Limited Digital Skills</w:t>
      </w:r>
      <w:r w:rsidRPr="00F55427">
        <w:t>: Many individuals lack the basic skills needed to operate digital devices or navigate online platforms. This is particularly true for older adults, who may not have grown up with technology.</w:t>
      </w:r>
    </w:p>
    <w:p w14:paraId="2BF4B1EA" w14:textId="7F5F9C0F" w:rsidR="00F55427" w:rsidRPr="00F55427" w:rsidRDefault="00F55427" w:rsidP="00F55427">
      <w:pPr>
        <w:numPr>
          <w:ilvl w:val="0"/>
          <w:numId w:val="2"/>
        </w:numPr>
      </w:pPr>
      <w:r w:rsidRPr="00F55427">
        <w:rPr>
          <w:b/>
          <w:bCs/>
        </w:rPr>
        <w:t>Non-Relevant Content</w:t>
      </w:r>
      <w:r w:rsidRPr="00F55427">
        <w:t>: For some, the available digital tools and resources may not seem relevant to their personal or professional lives, reducing motivation to learn.</w:t>
      </w:r>
    </w:p>
    <w:p w14:paraId="655A3AB1" w14:textId="77777777" w:rsidR="00F55427" w:rsidRPr="00F55427" w:rsidRDefault="00000000" w:rsidP="00F55427">
      <w:r>
        <w:pict w14:anchorId="17195674">
          <v:rect id="_x0000_i1029" style="width:0;height:1.5pt" o:hralign="center" o:hrstd="t" o:hr="t" fillcolor="#a0a0a0" stroked="f"/>
        </w:pict>
      </w:r>
    </w:p>
    <w:p w14:paraId="518A8C97" w14:textId="77777777" w:rsidR="00F55427" w:rsidRPr="00F55427" w:rsidRDefault="00F55427" w:rsidP="00F55427">
      <w:pPr>
        <w:rPr>
          <w:b/>
          <w:bCs/>
        </w:rPr>
      </w:pPr>
      <w:r w:rsidRPr="00F55427">
        <w:rPr>
          <w:b/>
          <w:bCs/>
        </w:rPr>
        <w:t>3. Perception and Dispositional Barriers</w:t>
      </w:r>
    </w:p>
    <w:p w14:paraId="4B405319" w14:textId="11F2D7CC" w:rsidR="00F55427" w:rsidRPr="00F55427" w:rsidRDefault="00F55427" w:rsidP="00F55427">
      <w:pPr>
        <w:numPr>
          <w:ilvl w:val="0"/>
          <w:numId w:val="3"/>
        </w:numPr>
      </w:pPr>
      <w:r w:rsidRPr="00F55427">
        <w:rPr>
          <w:b/>
          <w:bCs/>
        </w:rPr>
        <w:t>Low Self-Efficacy</w:t>
      </w:r>
      <w:r w:rsidRPr="00F55427">
        <w:t>: Some individuals feel they lack the ability to learn or succeed in using digital tools, leading to avoidance behaviors. This is especially common among working learners from disconnected or underserved backgrounds.</w:t>
      </w:r>
    </w:p>
    <w:p w14:paraId="7DC0C28A" w14:textId="77777777" w:rsidR="00F55427" w:rsidRPr="00F55427" w:rsidRDefault="00F55427" w:rsidP="00F55427">
      <w:pPr>
        <w:numPr>
          <w:ilvl w:val="0"/>
          <w:numId w:val="3"/>
        </w:numPr>
      </w:pPr>
      <w:r w:rsidRPr="00F55427">
        <w:rPr>
          <w:b/>
          <w:bCs/>
        </w:rPr>
        <w:t>Fear of Technology</w:t>
      </w:r>
      <w:r w:rsidRPr="00F55427">
        <w:t>: Anxiety about breaking or misusing technology can discourage people from engaging with it.</w:t>
      </w:r>
    </w:p>
    <w:p w14:paraId="66F42DE1" w14:textId="77777777" w:rsidR="00F55427" w:rsidRPr="00F55427" w:rsidRDefault="00000000" w:rsidP="00F55427">
      <w:r>
        <w:pict w14:anchorId="42165ABC">
          <v:rect id="_x0000_i1030" style="width:0;height:1.5pt" o:hralign="center" o:hrstd="t" o:hr="t" fillcolor="#a0a0a0" stroked="f"/>
        </w:pict>
      </w:r>
    </w:p>
    <w:p w14:paraId="4090F36B" w14:textId="77777777" w:rsidR="00F55427" w:rsidRPr="00F55427" w:rsidRDefault="00F55427" w:rsidP="00F55427">
      <w:pPr>
        <w:rPr>
          <w:b/>
          <w:bCs/>
        </w:rPr>
      </w:pPr>
      <w:r w:rsidRPr="00F55427">
        <w:rPr>
          <w:b/>
          <w:bCs/>
        </w:rPr>
        <w:t>4. Health and Cognitive Barriers</w:t>
      </w:r>
    </w:p>
    <w:p w14:paraId="13D7322E" w14:textId="2C4D79C3" w:rsidR="00F55427" w:rsidRPr="00F55427" w:rsidRDefault="00F55427" w:rsidP="00F55427">
      <w:pPr>
        <w:numPr>
          <w:ilvl w:val="0"/>
          <w:numId w:val="4"/>
        </w:numPr>
      </w:pPr>
      <w:r w:rsidRPr="00F55427">
        <w:rPr>
          <w:b/>
          <w:bCs/>
        </w:rPr>
        <w:lastRenderedPageBreak/>
        <w:t>Health-Related Limitations</w:t>
      </w:r>
      <w:r w:rsidRPr="00F55427">
        <w:t>: Physical disabilities, cognitive impairments, or age-related challenges can make it difficult for some individuals to use digital tools effectively.</w:t>
      </w:r>
    </w:p>
    <w:p w14:paraId="41ACCE2D" w14:textId="77777777" w:rsidR="00F55427" w:rsidRPr="00F55427" w:rsidRDefault="00F55427" w:rsidP="00F55427">
      <w:pPr>
        <w:numPr>
          <w:ilvl w:val="0"/>
          <w:numId w:val="4"/>
        </w:numPr>
      </w:pPr>
      <w:r w:rsidRPr="00F55427">
        <w:rPr>
          <w:b/>
          <w:bCs/>
        </w:rPr>
        <w:t>Special Populations</w:t>
      </w:r>
      <w:r w:rsidRPr="00F55427">
        <w:t>: Certain groups, such as those with disabilities, require assistive technologies or tailored solutions, which may not always be available.</w:t>
      </w:r>
    </w:p>
    <w:p w14:paraId="1D6E686B" w14:textId="77777777" w:rsidR="00F55427" w:rsidRPr="00F55427" w:rsidRDefault="00000000" w:rsidP="00F55427">
      <w:r>
        <w:pict w14:anchorId="6EA3B9C8">
          <v:rect id="_x0000_i1031" style="width:0;height:1.5pt" o:hralign="center" o:hrstd="t" o:hr="t" fillcolor="#a0a0a0" stroked="f"/>
        </w:pict>
      </w:r>
    </w:p>
    <w:p w14:paraId="2FA8A312" w14:textId="77777777" w:rsidR="00F55427" w:rsidRPr="00F55427" w:rsidRDefault="00F55427" w:rsidP="00F55427">
      <w:pPr>
        <w:rPr>
          <w:b/>
          <w:bCs/>
        </w:rPr>
      </w:pPr>
      <w:r w:rsidRPr="00F55427">
        <w:rPr>
          <w:b/>
          <w:bCs/>
        </w:rPr>
        <w:t>5. Lack of Support Networks</w:t>
      </w:r>
    </w:p>
    <w:p w14:paraId="7384A6FA" w14:textId="334500B6" w:rsidR="00F55427" w:rsidRPr="00F55427" w:rsidRDefault="00F55427" w:rsidP="00F55427">
      <w:pPr>
        <w:numPr>
          <w:ilvl w:val="0"/>
          <w:numId w:val="5"/>
        </w:numPr>
      </w:pPr>
      <w:r w:rsidRPr="00F55427">
        <w:rPr>
          <w:b/>
          <w:bCs/>
        </w:rPr>
        <w:t>Insufficient Guidance</w:t>
      </w:r>
      <w:r w:rsidRPr="00F55427">
        <w:t>: Many people lack access to mentors, trainers, or "digital navigators" who can provide hands-on support and guidance in learning digital skills.</w:t>
      </w:r>
    </w:p>
    <w:p w14:paraId="4306C2ED" w14:textId="77777777" w:rsidR="00F55427" w:rsidRPr="00F55427" w:rsidRDefault="00F55427" w:rsidP="00F55427">
      <w:pPr>
        <w:numPr>
          <w:ilvl w:val="0"/>
          <w:numId w:val="5"/>
        </w:numPr>
      </w:pPr>
      <w:r w:rsidRPr="00F55427">
        <w:rPr>
          <w:b/>
          <w:bCs/>
        </w:rPr>
        <w:t>Limited Institutional Support</w:t>
      </w:r>
      <w:r w:rsidRPr="00F55427">
        <w:t>: In educational and workplace settings, inadequate training programs or resources can hinder the development of digital literacy.</w:t>
      </w:r>
    </w:p>
    <w:p w14:paraId="7570CC8B" w14:textId="77777777" w:rsidR="00F55427" w:rsidRPr="00F55427" w:rsidRDefault="00000000" w:rsidP="00F55427">
      <w:r>
        <w:pict w14:anchorId="1A1B258B">
          <v:rect id="_x0000_i1032" style="width:0;height:1.5pt" o:hralign="center" o:hrstd="t" o:hr="t" fillcolor="#a0a0a0" stroked="f"/>
        </w:pict>
      </w:r>
    </w:p>
    <w:p w14:paraId="0363F785" w14:textId="77777777" w:rsidR="00F55427" w:rsidRPr="00F55427" w:rsidRDefault="00F55427" w:rsidP="00F55427">
      <w:pPr>
        <w:rPr>
          <w:b/>
          <w:bCs/>
        </w:rPr>
      </w:pPr>
      <w:r w:rsidRPr="00F55427">
        <w:rPr>
          <w:b/>
          <w:bCs/>
        </w:rPr>
        <w:t>6. Technology Design and Usability Issues</w:t>
      </w:r>
    </w:p>
    <w:p w14:paraId="2D1B6915" w14:textId="79391BE8" w:rsidR="00F55427" w:rsidRPr="00F55427" w:rsidRDefault="00F55427" w:rsidP="00F55427">
      <w:pPr>
        <w:numPr>
          <w:ilvl w:val="0"/>
          <w:numId w:val="6"/>
        </w:numPr>
      </w:pPr>
      <w:r w:rsidRPr="00F55427">
        <w:rPr>
          <w:b/>
          <w:bCs/>
        </w:rPr>
        <w:t>Complexity of Tools</w:t>
      </w:r>
      <w:r w:rsidRPr="00F55427">
        <w:t>: Poorly designed interfaces or overly complex systems can make technology intimidating and difficult to use, especially for beginners.</w:t>
      </w:r>
    </w:p>
    <w:p w14:paraId="0F9B1436" w14:textId="1EF092A9" w:rsidR="00F55427" w:rsidRPr="00F55427" w:rsidRDefault="00F55427" w:rsidP="00F55427">
      <w:pPr>
        <w:numPr>
          <w:ilvl w:val="0"/>
          <w:numId w:val="6"/>
        </w:numPr>
      </w:pPr>
      <w:r w:rsidRPr="00F55427">
        <w:rPr>
          <w:b/>
          <w:bCs/>
        </w:rPr>
        <w:t>Incompatibility</w:t>
      </w:r>
      <w:r w:rsidRPr="00F55427">
        <w:t>: In some cases, tools and platforms are not compatible with existing systems or are not user-friendly, creating additional barriers.</w:t>
      </w:r>
    </w:p>
    <w:p w14:paraId="4B631D54" w14:textId="77777777" w:rsidR="00F55427" w:rsidRPr="00F55427" w:rsidRDefault="00000000" w:rsidP="00F55427">
      <w:r>
        <w:pict w14:anchorId="1E7C10F4">
          <v:rect id="_x0000_i1033" style="width:0;height:1.5pt" o:hralign="center" o:hrstd="t" o:hr="t" fillcolor="#a0a0a0" stroked="f"/>
        </w:pict>
      </w:r>
    </w:p>
    <w:p w14:paraId="346904D2" w14:textId="77777777" w:rsidR="00F55427" w:rsidRPr="00F55427" w:rsidRDefault="00F55427" w:rsidP="00F55427">
      <w:pPr>
        <w:rPr>
          <w:b/>
          <w:bCs/>
        </w:rPr>
      </w:pPr>
      <w:r w:rsidRPr="00F55427">
        <w:rPr>
          <w:b/>
          <w:bCs/>
        </w:rPr>
        <w:t>7. Time Constraints</w:t>
      </w:r>
    </w:p>
    <w:p w14:paraId="3BEAB5F2" w14:textId="0E372F25" w:rsidR="00F55427" w:rsidRPr="00F55427" w:rsidRDefault="00F55427" w:rsidP="00F55427">
      <w:pPr>
        <w:numPr>
          <w:ilvl w:val="0"/>
          <w:numId w:val="7"/>
        </w:numPr>
      </w:pPr>
      <w:r w:rsidRPr="00F55427">
        <w:rPr>
          <w:b/>
          <w:bCs/>
        </w:rPr>
        <w:t>Lack of Time for Learning</w:t>
      </w:r>
      <w:r w:rsidRPr="00F55427">
        <w:t>: Both individuals and organizations often struggle to allocate time for learning and implementing digital literacy skills. For example, educators may not have enough time to plan and teach technology lessons effectively.</w:t>
      </w:r>
    </w:p>
    <w:p w14:paraId="3652CD98" w14:textId="77777777" w:rsidR="00F55427" w:rsidRPr="00F55427" w:rsidRDefault="00000000" w:rsidP="00F55427">
      <w:r>
        <w:pict w14:anchorId="18A310BF">
          <v:rect id="_x0000_i1034" style="width:0;height:1.5pt" o:hralign="center" o:hrstd="t" o:hr="t" fillcolor="#a0a0a0" stroked="f"/>
        </w:pict>
      </w:r>
    </w:p>
    <w:p w14:paraId="21A62167" w14:textId="77777777" w:rsidR="00F55427" w:rsidRPr="00F55427" w:rsidRDefault="00F55427" w:rsidP="00F55427">
      <w:pPr>
        <w:rPr>
          <w:b/>
          <w:bCs/>
        </w:rPr>
      </w:pPr>
      <w:r w:rsidRPr="00F55427">
        <w:rPr>
          <w:b/>
          <w:bCs/>
        </w:rPr>
        <w:t>8. Cultural and Language Barriers</w:t>
      </w:r>
    </w:p>
    <w:p w14:paraId="7D5C3672" w14:textId="77777777" w:rsidR="00F55427" w:rsidRPr="00F55427" w:rsidRDefault="00F55427" w:rsidP="00F55427">
      <w:pPr>
        <w:numPr>
          <w:ilvl w:val="0"/>
          <w:numId w:val="8"/>
        </w:numPr>
      </w:pPr>
      <w:r w:rsidRPr="00F55427">
        <w:rPr>
          <w:b/>
          <w:bCs/>
        </w:rPr>
        <w:t>Language Limitations</w:t>
      </w:r>
      <w:r w:rsidRPr="00F55427">
        <w:t>: Digital tools and resources are often not available in multiple languages, making them inaccessible to non-native speakers.</w:t>
      </w:r>
    </w:p>
    <w:p w14:paraId="55A19EEF" w14:textId="7618586F" w:rsidR="00F55427" w:rsidRPr="00F55427" w:rsidRDefault="00F55427" w:rsidP="00F55427">
      <w:pPr>
        <w:numPr>
          <w:ilvl w:val="0"/>
          <w:numId w:val="8"/>
        </w:numPr>
      </w:pPr>
      <w:r w:rsidRPr="00F55427">
        <w:rPr>
          <w:b/>
          <w:bCs/>
        </w:rPr>
        <w:t>Cultural Relevance</w:t>
      </w:r>
      <w:r w:rsidRPr="00F55427">
        <w:t>: Some digital content may not align with the cultural context or needs of certain communities, reducing its effectiveness.</w:t>
      </w:r>
    </w:p>
    <w:p w14:paraId="345B29D7" w14:textId="77777777" w:rsidR="00F55427" w:rsidRPr="00F55427" w:rsidRDefault="00000000" w:rsidP="00F55427">
      <w:r>
        <w:lastRenderedPageBreak/>
        <w:pict w14:anchorId="42C63A64">
          <v:rect id="_x0000_i1035" style="width:0;height:1.5pt" o:hralign="center" o:hrstd="t" o:hr="t" fillcolor="#a0a0a0" stroked="f"/>
        </w:pict>
      </w:r>
    </w:p>
    <w:p w14:paraId="2860EFFA" w14:textId="77777777" w:rsidR="00F55427" w:rsidRPr="00F55427" w:rsidRDefault="00F55427" w:rsidP="00F55427">
      <w:pPr>
        <w:rPr>
          <w:b/>
          <w:bCs/>
        </w:rPr>
      </w:pPr>
      <w:r w:rsidRPr="00F55427">
        <w:rPr>
          <w:b/>
          <w:bCs/>
        </w:rPr>
        <w:t>9. Resource Constraints in Organizations</w:t>
      </w:r>
    </w:p>
    <w:p w14:paraId="29E31F9D" w14:textId="1F058ACB" w:rsidR="00F55427" w:rsidRPr="00F55427" w:rsidRDefault="00F55427" w:rsidP="00F55427">
      <w:pPr>
        <w:numPr>
          <w:ilvl w:val="0"/>
          <w:numId w:val="9"/>
        </w:numPr>
      </w:pPr>
      <w:r w:rsidRPr="00F55427">
        <w:rPr>
          <w:b/>
          <w:bCs/>
        </w:rPr>
        <w:t>Limited Budgets</w:t>
      </w:r>
      <w:r w:rsidRPr="00F55427">
        <w:t>: Organizations may lack the financial resources to invest in digital literacy training, tools, or infrastructure.</w:t>
      </w:r>
    </w:p>
    <w:p w14:paraId="0940A30E" w14:textId="32AA59F3" w:rsidR="00F55427" w:rsidRPr="00F55427" w:rsidRDefault="00F55427" w:rsidP="00F55427">
      <w:pPr>
        <w:numPr>
          <w:ilvl w:val="0"/>
          <w:numId w:val="9"/>
        </w:numPr>
      </w:pPr>
      <w:r w:rsidRPr="00F55427">
        <w:rPr>
          <w:b/>
          <w:bCs/>
        </w:rPr>
        <w:t>High Student-to-Teacher Ratios</w:t>
      </w:r>
      <w:r w:rsidRPr="00F55427">
        <w:t>: In educational settings, limited staffing can make it difficult to provide individualized support for digital literacy development.</w:t>
      </w:r>
    </w:p>
    <w:p w14:paraId="0FBBFB79" w14:textId="77777777" w:rsidR="00F55427" w:rsidRPr="00F55427" w:rsidRDefault="00000000" w:rsidP="00F55427">
      <w:r>
        <w:pict w14:anchorId="49BAE159">
          <v:rect id="_x0000_i1036" style="width:0;height:1.5pt" o:hralign="center" o:hrstd="t" o:hr="t" fillcolor="#a0a0a0" stroked="f"/>
        </w:pict>
      </w:r>
    </w:p>
    <w:p w14:paraId="39AB0AF4" w14:textId="77777777" w:rsidR="00F55427" w:rsidRPr="00F55427" w:rsidRDefault="00F55427" w:rsidP="00F55427">
      <w:pPr>
        <w:rPr>
          <w:b/>
          <w:bCs/>
        </w:rPr>
      </w:pPr>
      <w:r w:rsidRPr="00F55427">
        <w:rPr>
          <w:b/>
          <w:bCs/>
        </w:rPr>
        <w:t>Conclusion</w:t>
      </w:r>
    </w:p>
    <w:p w14:paraId="71CFFCBE" w14:textId="77777777" w:rsidR="00F55427" w:rsidRPr="00F55427" w:rsidRDefault="00F55427" w:rsidP="00F55427">
      <w:r w:rsidRPr="00F55427">
        <w:t>Barriers to digital literacy are multifaceted, ranging from access and affordability issues to skills gaps, perception challenges, and resource constraints. Addressing these barriers requires a combination of strategies, such as improving access to technology, offering tailored training programs, and fostering inclusive design. By tackling these challenges, individuals and organizations can unlock the full potential of digital tools and technologies.</w:t>
      </w:r>
    </w:p>
    <w:p w14:paraId="20E7D318" w14:textId="77777777" w:rsidR="00875675" w:rsidRDefault="00875675"/>
    <w:p w14:paraId="4022A57B" w14:textId="77777777" w:rsidR="00687FC9" w:rsidRPr="00687FC9" w:rsidRDefault="00687FC9" w:rsidP="00687FC9">
      <w:pPr>
        <w:rPr>
          <w:b/>
          <w:bCs/>
        </w:rPr>
      </w:pPr>
      <w:r w:rsidRPr="00687FC9">
        <w:rPr>
          <w:b/>
          <w:bCs/>
        </w:rPr>
        <w:t>1. Lack of Access to Technology &amp; Internet (The Digital Divide)</w:t>
      </w:r>
    </w:p>
    <w:p w14:paraId="0C332E70" w14:textId="77777777" w:rsidR="00687FC9" w:rsidRPr="00687FC9" w:rsidRDefault="00687FC9" w:rsidP="00687FC9">
      <w:r w:rsidRPr="00687FC9">
        <w:rPr>
          <w:b/>
          <w:bCs/>
        </w:rPr>
        <w:t>Strategies:</w:t>
      </w:r>
    </w:p>
    <w:p w14:paraId="22892E7E" w14:textId="77777777" w:rsidR="00687FC9" w:rsidRPr="00687FC9" w:rsidRDefault="00687FC9" w:rsidP="00687FC9">
      <w:pPr>
        <w:numPr>
          <w:ilvl w:val="0"/>
          <w:numId w:val="18"/>
        </w:numPr>
      </w:pPr>
      <w:r w:rsidRPr="00687FC9">
        <w:rPr>
          <w:b/>
          <w:bCs/>
        </w:rPr>
        <w:t>Device Lending Programs</w:t>
      </w:r>
      <w:r w:rsidRPr="00687FC9">
        <w:t xml:space="preserve"> — Establish a library of loaner laptops, tablets, and hotspots that organizations and community members can borrow for short- or long-term use.</w:t>
      </w:r>
    </w:p>
    <w:p w14:paraId="03C96D45" w14:textId="77777777" w:rsidR="00687FC9" w:rsidRPr="00687FC9" w:rsidRDefault="00687FC9" w:rsidP="00687FC9">
      <w:pPr>
        <w:numPr>
          <w:ilvl w:val="0"/>
          <w:numId w:val="18"/>
        </w:numPr>
      </w:pPr>
      <w:r w:rsidRPr="00687FC9">
        <w:rPr>
          <w:b/>
          <w:bCs/>
        </w:rPr>
        <w:t>Grant Navigation Support</w:t>
      </w:r>
      <w:r w:rsidRPr="00687FC9">
        <w:t xml:space="preserve"> — Help organizations identify and apply for federal and state connectivity programs (e.g., FCC's E-Rate, USDA </w:t>
      </w:r>
      <w:proofErr w:type="spellStart"/>
      <w:r w:rsidRPr="00687FC9">
        <w:t>ReConnect</w:t>
      </w:r>
      <w:proofErr w:type="spellEnd"/>
      <w:r w:rsidRPr="00687FC9">
        <w:t>, ACP successor programs) that subsidize devices and broadband.</w:t>
      </w:r>
    </w:p>
    <w:p w14:paraId="6171AD35" w14:textId="77777777" w:rsidR="00687FC9" w:rsidRPr="00687FC9" w:rsidRDefault="00687FC9" w:rsidP="00687FC9">
      <w:pPr>
        <w:numPr>
          <w:ilvl w:val="0"/>
          <w:numId w:val="18"/>
        </w:numPr>
      </w:pPr>
      <w:r w:rsidRPr="00687FC9">
        <w:rPr>
          <w:b/>
          <w:bCs/>
        </w:rPr>
        <w:t>Bulk Purchasing Partnerships</w:t>
      </w:r>
      <w:r w:rsidRPr="00687FC9">
        <w:t xml:space="preserve"> — Leverage the agency's regional reach to negotiate group purchasing agreements, lowering per-unit costs for member organizations.</w:t>
      </w:r>
    </w:p>
    <w:p w14:paraId="610EAC7C" w14:textId="77777777" w:rsidR="00687FC9" w:rsidRPr="00687FC9" w:rsidRDefault="00687FC9" w:rsidP="00687FC9">
      <w:pPr>
        <w:numPr>
          <w:ilvl w:val="0"/>
          <w:numId w:val="18"/>
        </w:numPr>
      </w:pPr>
      <w:r w:rsidRPr="00687FC9">
        <w:rPr>
          <w:b/>
          <w:bCs/>
        </w:rPr>
        <w:t>Community Tech Hubs</w:t>
      </w:r>
      <w:r w:rsidRPr="00687FC9">
        <w:t xml:space="preserve"> — Partner with libraries, tribal offices, or community centers to establish shared access points where residents can use computers and internet free of charge.</w:t>
      </w:r>
    </w:p>
    <w:p w14:paraId="0AFBEFE9" w14:textId="77777777" w:rsidR="00687FC9" w:rsidRPr="00687FC9" w:rsidRDefault="00687FC9" w:rsidP="00687FC9">
      <w:r w:rsidRPr="00687FC9">
        <w:pict w14:anchorId="5FDFD183">
          <v:rect id="_x0000_i1091" style="width:0;height:1.5pt" o:hralign="center" o:hrstd="t" o:hr="t" fillcolor="#a0a0a0" stroked="f"/>
        </w:pict>
      </w:r>
    </w:p>
    <w:p w14:paraId="7E2F6F78" w14:textId="77777777" w:rsidR="00687FC9" w:rsidRPr="00687FC9" w:rsidRDefault="00687FC9" w:rsidP="00687FC9">
      <w:pPr>
        <w:rPr>
          <w:b/>
          <w:bCs/>
        </w:rPr>
      </w:pPr>
      <w:r w:rsidRPr="00687FC9">
        <w:rPr>
          <w:b/>
          <w:bCs/>
        </w:rPr>
        <w:t>2. Skills Gap &amp; Lack of Fundamental Knowledge</w:t>
      </w:r>
    </w:p>
    <w:p w14:paraId="7CD446C6" w14:textId="77777777" w:rsidR="00687FC9" w:rsidRPr="00687FC9" w:rsidRDefault="00687FC9" w:rsidP="00687FC9">
      <w:r w:rsidRPr="00687FC9">
        <w:rPr>
          <w:b/>
          <w:bCs/>
        </w:rPr>
        <w:t>Strategies:</w:t>
      </w:r>
    </w:p>
    <w:p w14:paraId="76AC279E" w14:textId="77777777" w:rsidR="00687FC9" w:rsidRPr="00687FC9" w:rsidRDefault="00687FC9" w:rsidP="00687FC9">
      <w:pPr>
        <w:numPr>
          <w:ilvl w:val="0"/>
          <w:numId w:val="19"/>
        </w:numPr>
      </w:pPr>
      <w:r w:rsidRPr="00687FC9">
        <w:rPr>
          <w:b/>
          <w:bCs/>
        </w:rPr>
        <w:lastRenderedPageBreak/>
        <w:t>Tiered Training Programs</w:t>
      </w:r>
      <w:r w:rsidRPr="00687FC9">
        <w:t xml:space="preserve"> — Offer beginner, intermediate, and advanced digital skills workshops tailored to different starting points — from "how to use a mouse" to "how to manage cloud-based data systems."</w:t>
      </w:r>
    </w:p>
    <w:p w14:paraId="4578C4D2" w14:textId="77777777" w:rsidR="00687FC9" w:rsidRPr="00687FC9" w:rsidRDefault="00687FC9" w:rsidP="00687FC9">
      <w:pPr>
        <w:numPr>
          <w:ilvl w:val="0"/>
          <w:numId w:val="19"/>
        </w:numPr>
      </w:pPr>
      <w:r w:rsidRPr="00687FC9">
        <w:rPr>
          <w:b/>
          <w:bCs/>
        </w:rPr>
        <w:t>Relevance-First Curriculum</w:t>
      </w:r>
      <w:r w:rsidRPr="00687FC9">
        <w:t xml:space="preserve"> — Design training around tools </w:t>
      </w:r>
      <w:proofErr w:type="gramStart"/>
      <w:r w:rsidRPr="00687FC9">
        <w:t>staff</w:t>
      </w:r>
      <w:proofErr w:type="gramEnd"/>
      <w:r w:rsidRPr="00687FC9">
        <w:t xml:space="preserve"> already use or need (e.g., grant reporting portals, email, Google Workspace, Zoom) so learning feels immediately applicable.</w:t>
      </w:r>
    </w:p>
    <w:p w14:paraId="45237FD6" w14:textId="77777777" w:rsidR="00687FC9" w:rsidRPr="00687FC9" w:rsidRDefault="00687FC9" w:rsidP="00687FC9">
      <w:pPr>
        <w:numPr>
          <w:ilvl w:val="0"/>
          <w:numId w:val="19"/>
        </w:numPr>
      </w:pPr>
      <w:r w:rsidRPr="00687FC9">
        <w:rPr>
          <w:b/>
          <w:bCs/>
        </w:rPr>
        <w:t>Role-Specific Modules</w:t>
      </w:r>
      <w:r w:rsidRPr="00687FC9">
        <w:t xml:space="preserve"> — Develop tracks for common roles in member organizations: administrators, finance staff, program coordinators, and leadership — each with content relevant to their daily work.</w:t>
      </w:r>
    </w:p>
    <w:p w14:paraId="7DEBFC85" w14:textId="77777777" w:rsidR="00687FC9" w:rsidRPr="00687FC9" w:rsidRDefault="00687FC9" w:rsidP="00687FC9">
      <w:pPr>
        <w:numPr>
          <w:ilvl w:val="0"/>
          <w:numId w:val="19"/>
        </w:numPr>
      </w:pPr>
      <w:r w:rsidRPr="00687FC9">
        <w:rPr>
          <w:b/>
          <w:bCs/>
        </w:rPr>
        <w:t>Train-the-Trainer</w:t>
      </w:r>
      <w:r w:rsidRPr="00687FC9">
        <w:t xml:space="preserve"> — Equip a point person within each organization to sustain training internally after the agency's initial engagement.</w:t>
      </w:r>
    </w:p>
    <w:p w14:paraId="61437AF7" w14:textId="77777777" w:rsidR="00687FC9" w:rsidRPr="00687FC9" w:rsidRDefault="00687FC9" w:rsidP="00687FC9">
      <w:r w:rsidRPr="00687FC9">
        <w:pict w14:anchorId="287566A2">
          <v:rect id="_x0000_i1092" style="width:0;height:1.5pt" o:hralign="center" o:hrstd="t" o:hr="t" fillcolor="#a0a0a0" stroked="f"/>
        </w:pict>
      </w:r>
    </w:p>
    <w:p w14:paraId="74D15149" w14:textId="77777777" w:rsidR="00687FC9" w:rsidRPr="00687FC9" w:rsidRDefault="00687FC9" w:rsidP="00687FC9">
      <w:pPr>
        <w:rPr>
          <w:b/>
          <w:bCs/>
        </w:rPr>
      </w:pPr>
      <w:r w:rsidRPr="00687FC9">
        <w:rPr>
          <w:b/>
          <w:bCs/>
        </w:rPr>
        <w:t>3. Perception &amp; Dispositional Barriers</w:t>
      </w:r>
    </w:p>
    <w:p w14:paraId="1D284B84" w14:textId="77777777" w:rsidR="00687FC9" w:rsidRPr="00687FC9" w:rsidRDefault="00687FC9" w:rsidP="00687FC9">
      <w:r w:rsidRPr="00687FC9">
        <w:rPr>
          <w:b/>
          <w:bCs/>
        </w:rPr>
        <w:t>Strategies:</w:t>
      </w:r>
    </w:p>
    <w:p w14:paraId="2DE5D34E" w14:textId="77777777" w:rsidR="00687FC9" w:rsidRPr="00687FC9" w:rsidRDefault="00687FC9" w:rsidP="00687FC9">
      <w:pPr>
        <w:numPr>
          <w:ilvl w:val="0"/>
          <w:numId w:val="20"/>
        </w:numPr>
      </w:pPr>
      <w:r w:rsidRPr="00687FC9">
        <w:rPr>
          <w:b/>
          <w:bCs/>
        </w:rPr>
        <w:t>Strength-Based Assessment</w:t>
      </w:r>
      <w:r w:rsidRPr="00687FC9">
        <w:t xml:space="preserve"> — Begin every engagement by identifying what people </w:t>
      </w:r>
      <w:r w:rsidRPr="00687FC9">
        <w:rPr>
          <w:i/>
          <w:iCs/>
        </w:rPr>
        <w:t>already</w:t>
      </w:r>
      <w:r w:rsidRPr="00687FC9">
        <w:t xml:space="preserve"> do well digitally, building confidence before introducing new skills.</w:t>
      </w:r>
    </w:p>
    <w:p w14:paraId="64E834B2" w14:textId="77777777" w:rsidR="00687FC9" w:rsidRPr="00687FC9" w:rsidRDefault="00687FC9" w:rsidP="00687FC9">
      <w:pPr>
        <w:numPr>
          <w:ilvl w:val="0"/>
          <w:numId w:val="20"/>
        </w:numPr>
      </w:pPr>
      <w:r w:rsidRPr="00687FC9">
        <w:rPr>
          <w:b/>
          <w:bCs/>
        </w:rPr>
        <w:t>Safe Practice Environments</w:t>
      </w:r>
      <w:r w:rsidRPr="00687FC9">
        <w:t xml:space="preserve"> — Offer low-stakes "sandbox" sessions where participants can explore tools without fear of making costly mistakes. Normalize trial and error.</w:t>
      </w:r>
    </w:p>
    <w:p w14:paraId="3B3A76F1" w14:textId="77777777" w:rsidR="00687FC9" w:rsidRPr="00687FC9" w:rsidRDefault="00687FC9" w:rsidP="00687FC9">
      <w:pPr>
        <w:numPr>
          <w:ilvl w:val="0"/>
          <w:numId w:val="20"/>
        </w:numPr>
      </w:pPr>
      <w:r w:rsidRPr="00687FC9">
        <w:rPr>
          <w:b/>
          <w:bCs/>
        </w:rPr>
        <w:t>Peer Learning Models</w:t>
      </w:r>
      <w:r w:rsidRPr="00687FC9">
        <w:t xml:space="preserve"> — Connect hesitant learners with peers (not just experts) who have successfully navigated similar learning curves, reducing the perceived gap between "where I am" and "where I need to be."</w:t>
      </w:r>
    </w:p>
    <w:p w14:paraId="4CF1D311" w14:textId="77777777" w:rsidR="00687FC9" w:rsidRPr="00687FC9" w:rsidRDefault="00687FC9" w:rsidP="00687FC9">
      <w:pPr>
        <w:numPr>
          <w:ilvl w:val="0"/>
          <w:numId w:val="20"/>
        </w:numPr>
      </w:pPr>
      <w:r w:rsidRPr="00687FC9">
        <w:rPr>
          <w:b/>
          <w:bCs/>
        </w:rPr>
        <w:t>Celebrate Small Wins</w:t>
      </w:r>
      <w:r w:rsidRPr="00687FC9">
        <w:t xml:space="preserve"> — Structure training with visible milestones and acknowledgment of progress to reinforce self-efficacy over time.</w:t>
      </w:r>
    </w:p>
    <w:p w14:paraId="743B1302" w14:textId="77777777" w:rsidR="00687FC9" w:rsidRPr="00687FC9" w:rsidRDefault="00687FC9" w:rsidP="00687FC9">
      <w:r w:rsidRPr="00687FC9">
        <w:pict w14:anchorId="3AEF18BD">
          <v:rect id="_x0000_i1093" style="width:0;height:1.5pt" o:hralign="center" o:hrstd="t" o:hr="t" fillcolor="#a0a0a0" stroked="f"/>
        </w:pict>
      </w:r>
    </w:p>
    <w:p w14:paraId="195519C8" w14:textId="77777777" w:rsidR="00687FC9" w:rsidRPr="00687FC9" w:rsidRDefault="00687FC9" w:rsidP="00687FC9">
      <w:pPr>
        <w:rPr>
          <w:b/>
          <w:bCs/>
        </w:rPr>
      </w:pPr>
      <w:r w:rsidRPr="00687FC9">
        <w:rPr>
          <w:b/>
          <w:bCs/>
        </w:rPr>
        <w:t>4. Health &amp; Cognitive Barriers</w:t>
      </w:r>
    </w:p>
    <w:p w14:paraId="70CAD06A" w14:textId="77777777" w:rsidR="00687FC9" w:rsidRPr="00687FC9" w:rsidRDefault="00687FC9" w:rsidP="00687FC9">
      <w:r w:rsidRPr="00687FC9">
        <w:rPr>
          <w:b/>
          <w:bCs/>
        </w:rPr>
        <w:t>Strategies:</w:t>
      </w:r>
    </w:p>
    <w:p w14:paraId="2FAA6CA4" w14:textId="77777777" w:rsidR="00687FC9" w:rsidRPr="00687FC9" w:rsidRDefault="00687FC9" w:rsidP="00687FC9">
      <w:pPr>
        <w:numPr>
          <w:ilvl w:val="0"/>
          <w:numId w:val="21"/>
        </w:numPr>
      </w:pPr>
      <w:r w:rsidRPr="00687FC9">
        <w:rPr>
          <w:b/>
          <w:bCs/>
        </w:rPr>
        <w:t>Assistive Technology Inventory</w:t>
      </w:r>
      <w:r w:rsidRPr="00687FC9">
        <w:t xml:space="preserve"> — Maintain a resource guide of tools such as screen readers, voice-to-text software, adjustable displays, and captioning tools. Help organizations identify which ones are free or low-cost.</w:t>
      </w:r>
    </w:p>
    <w:p w14:paraId="3816AC6A" w14:textId="77777777" w:rsidR="00687FC9" w:rsidRPr="00687FC9" w:rsidRDefault="00687FC9" w:rsidP="00687FC9">
      <w:pPr>
        <w:numPr>
          <w:ilvl w:val="0"/>
          <w:numId w:val="21"/>
        </w:numPr>
      </w:pPr>
      <w:r w:rsidRPr="00687FC9">
        <w:rPr>
          <w:b/>
          <w:bCs/>
        </w:rPr>
        <w:lastRenderedPageBreak/>
        <w:t>Accessible Training Design</w:t>
      </w:r>
      <w:r w:rsidRPr="00687FC9">
        <w:t xml:space="preserve"> — Ensure all agency-produced training materials meet accessibility standards (e.g., captioned videos, large-print guides, plain-language content).</w:t>
      </w:r>
    </w:p>
    <w:p w14:paraId="58E13A5E" w14:textId="77777777" w:rsidR="00687FC9" w:rsidRPr="00687FC9" w:rsidRDefault="00687FC9" w:rsidP="00687FC9">
      <w:pPr>
        <w:numPr>
          <w:ilvl w:val="0"/>
          <w:numId w:val="21"/>
        </w:numPr>
      </w:pPr>
      <w:r w:rsidRPr="00687FC9">
        <w:rPr>
          <w:b/>
          <w:bCs/>
        </w:rPr>
        <w:t>Individualized Accommodation Planning</w:t>
      </w:r>
      <w:r w:rsidRPr="00687FC9">
        <w:t xml:space="preserve"> — During community visits, identify staff members with specific needs and recommend tailored </w:t>
      </w:r>
      <w:proofErr w:type="gramStart"/>
      <w:r w:rsidRPr="00687FC9">
        <w:t>accommodations</w:t>
      </w:r>
      <w:proofErr w:type="gramEnd"/>
      <w:r w:rsidRPr="00687FC9">
        <w:t xml:space="preserve"> rather than one-size-fits-all solutions.</w:t>
      </w:r>
    </w:p>
    <w:p w14:paraId="53891C83" w14:textId="77777777" w:rsidR="00687FC9" w:rsidRPr="00687FC9" w:rsidRDefault="00687FC9" w:rsidP="00687FC9">
      <w:pPr>
        <w:numPr>
          <w:ilvl w:val="0"/>
          <w:numId w:val="21"/>
        </w:numPr>
      </w:pPr>
      <w:r w:rsidRPr="00687FC9">
        <w:rPr>
          <w:b/>
          <w:bCs/>
        </w:rPr>
        <w:t>Partner with Disability Service Providers</w:t>
      </w:r>
      <w:r w:rsidRPr="00687FC9">
        <w:t xml:space="preserve"> — Build referral relationships with organizations that specialize in assistive technology support.</w:t>
      </w:r>
    </w:p>
    <w:p w14:paraId="4E17AACD" w14:textId="77777777" w:rsidR="00687FC9" w:rsidRPr="00687FC9" w:rsidRDefault="00687FC9" w:rsidP="00687FC9">
      <w:r w:rsidRPr="00687FC9">
        <w:pict w14:anchorId="0194D3DF">
          <v:rect id="_x0000_i1094" style="width:0;height:1.5pt" o:hralign="center" o:hrstd="t" o:hr="t" fillcolor="#a0a0a0" stroked="f"/>
        </w:pict>
      </w:r>
    </w:p>
    <w:p w14:paraId="7D0052CF" w14:textId="77777777" w:rsidR="00687FC9" w:rsidRPr="00687FC9" w:rsidRDefault="00687FC9" w:rsidP="00687FC9">
      <w:pPr>
        <w:rPr>
          <w:b/>
          <w:bCs/>
        </w:rPr>
      </w:pPr>
      <w:r w:rsidRPr="00687FC9">
        <w:rPr>
          <w:b/>
          <w:bCs/>
        </w:rPr>
        <w:t>5. Lack of Support Networks</w:t>
      </w:r>
    </w:p>
    <w:p w14:paraId="1075D553" w14:textId="77777777" w:rsidR="00687FC9" w:rsidRPr="00687FC9" w:rsidRDefault="00687FC9" w:rsidP="00687FC9">
      <w:r w:rsidRPr="00687FC9">
        <w:rPr>
          <w:b/>
          <w:bCs/>
        </w:rPr>
        <w:t>Strategies:</w:t>
      </w:r>
    </w:p>
    <w:p w14:paraId="13858A07" w14:textId="77777777" w:rsidR="00687FC9" w:rsidRPr="00687FC9" w:rsidRDefault="00687FC9" w:rsidP="00687FC9">
      <w:pPr>
        <w:numPr>
          <w:ilvl w:val="0"/>
          <w:numId w:val="22"/>
        </w:numPr>
      </w:pPr>
      <w:r w:rsidRPr="00687FC9">
        <w:rPr>
          <w:b/>
          <w:bCs/>
        </w:rPr>
        <w:t>Digital Navigator Program</w:t>
      </w:r>
      <w:r w:rsidRPr="00687FC9">
        <w:t xml:space="preserve"> — Train and place Digital Navigators — trusted community members who provide one-on-one, ongoing tech support — within or across member organizations.</w:t>
      </w:r>
    </w:p>
    <w:p w14:paraId="050CDCDA" w14:textId="77777777" w:rsidR="00687FC9" w:rsidRPr="00687FC9" w:rsidRDefault="00687FC9" w:rsidP="00687FC9">
      <w:pPr>
        <w:numPr>
          <w:ilvl w:val="0"/>
          <w:numId w:val="22"/>
        </w:numPr>
      </w:pPr>
      <w:r w:rsidRPr="00687FC9">
        <w:rPr>
          <w:b/>
          <w:bCs/>
        </w:rPr>
        <w:t>Regional Peer Network</w:t>
      </w:r>
      <w:r w:rsidRPr="00687FC9">
        <w:t xml:space="preserve"> — Facilitate a cross-village or cross-organization network where staff can share challenges, solutions, and resources with one another, reducing isolation.</w:t>
      </w:r>
    </w:p>
    <w:p w14:paraId="59815469" w14:textId="77777777" w:rsidR="00687FC9" w:rsidRPr="00687FC9" w:rsidRDefault="00687FC9" w:rsidP="00687FC9">
      <w:pPr>
        <w:numPr>
          <w:ilvl w:val="0"/>
          <w:numId w:val="22"/>
        </w:numPr>
      </w:pPr>
      <w:r w:rsidRPr="00687FC9">
        <w:rPr>
          <w:b/>
          <w:bCs/>
        </w:rPr>
        <w:t>On-Call Help Desk</w:t>
      </w:r>
      <w:r w:rsidRPr="00687FC9">
        <w:t xml:space="preserve"> — Offer a basic remote support resource (phone, email, or chat) that organizations can contact when they hit a wall.</w:t>
      </w:r>
    </w:p>
    <w:p w14:paraId="51902958" w14:textId="77777777" w:rsidR="00687FC9" w:rsidRPr="00687FC9" w:rsidRDefault="00687FC9" w:rsidP="00687FC9">
      <w:pPr>
        <w:numPr>
          <w:ilvl w:val="0"/>
          <w:numId w:val="22"/>
        </w:numPr>
      </w:pPr>
      <w:r w:rsidRPr="00687FC9">
        <w:rPr>
          <w:b/>
          <w:bCs/>
        </w:rPr>
        <w:t>Mentorship Matching</w:t>
      </w:r>
      <w:r w:rsidRPr="00687FC9">
        <w:t xml:space="preserve"> — Pair less digitally experienced staff with more experienced peers in similar roles at other organizations.</w:t>
      </w:r>
    </w:p>
    <w:p w14:paraId="228EEFB6" w14:textId="77777777" w:rsidR="00687FC9" w:rsidRPr="00687FC9" w:rsidRDefault="00687FC9" w:rsidP="00687FC9">
      <w:r w:rsidRPr="00687FC9">
        <w:pict w14:anchorId="4590B0E2">
          <v:rect id="_x0000_i1095" style="width:0;height:1.5pt" o:hralign="center" o:hrstd="t" o:hr="t" fillcolor="#a0a0a0" stroked="f"/>
        </w:pict>
      </w:r>
    </w:p>
    <w:p w14:paraId="608ECB51" w14:textId="77777777" w:rsidR="00687FC9" w:rsidRPr="00687FC9" w:rsidRDefault="00687FC9" w:rsidP="00687FC9">
      <w:pPr>
        <w:rPr>
          <w:b/>
          <w:bCs/>
        </w:rPr>
      </w:pPr>
      <w:r w:rsidRPr="00687FC9">
        <w:rPr>
          <w:b/>
          <w:bCs/>
        </w:rPr>
        <w:t>6. Technology Design &amp; Usability Issues</w:t>
      </w:r>
    </w:p>
    <w:p w14:paraId="611AD716" w14:textId="77777777" w:rsidR="00687FC9" w:rsidRPr="00687FC9" w:rsidRDefault="00687FC9" w:rsidP="00687FC9">
      <w:r w:rsidRPr="00687FC9">
        <w:rPr>
          <w:b/>
          <w:bCs/>
        </w:rPr>
        <w:t>Strategies:</w:t>
      </w:r>
    </w:p>
    <w:p w14:paraId="5DBA6013" w14:textId="77777777" w:rsidR="00687FC9" w:rsidRPr="00687FC9" w:rsidRDefault="00687FC9" w:rsidP="00687FC9">
      <w:pPr>
        <w:numPr>
          <w:ilvl w:val="0"/>
          <w:numId w:val="23"/>
        </w:numPr>
      </w:pPr>
      <w:r w:rsidRPr="00687FC9">
        <w:rPr>
          <w:b/>
          <w:bCs/>
        </w:rPr>
        <w:t>Technology Vetting &amp; Recommendations</w:t>
      </w:r>
      <w:r w:rsidRPr="00687FC9">
        <w:t xml:space="preserve"> — During needs assessments, evaluate whether tools currently in use are appropriate for the organization's size, capacity, and workflow. Recommend simpler or more user-friendly alternatives when warranted.</w:t>
      </w:r>
    </w:p>
    <w:p w14:paraId="5204A71F" w14:textId="77777777" w:rsidR="00687FC9" w:rsidRPr="00687FC9" w:rsidRDefault="00687FC9" w:rsidP="00687FC9">
      <w:pPr>
        <w:numPr>
          <w:ilvl w:val="0"/>
          <w:numId w:val="23"/>
        </w:numPr>
      </w:pPr>
      <w:r w:rsidRPr="00687FC9">
        <w:rPr>
          <w:b/>
          <w:bCs/>
        </w:rPr>
        <w:t>Vendor Advocacy</w:t>
      </w:r>
      <w:r w:rsidRPr="00687FC9">
        <w:t xml:space="preserve"> — Aggregate feedback from member organizations and communicate usability concerns directly to software vendors, leveraging the agency's collective voice.</w:t>
      </w:r>
    </w:p>
    <w:p w14:paraId="178C3185" w14:textId="77777777" w:rsidR="00687FC9" w:rsidRPr="00687FC9" w:rsidRDefault="00687FC9" w:rsidP="00687FC9">
      <w:pPr>
        <w:numPr>
          <w:ilvl w:val="0"/>
          <w:numId w:val="23"/>
        </w:numPr>
      </w:pPr>
      <w:r w:rsidRPr="00687FC9">
        <w:rPr>
          <w:b/>
          <w:bCs/>
        </w:rPr>
        <w:lastRenderedPageBreak/>
        <w:t>Implementation Support</w:t>
      </w:r>
      <w:r w:rsidRPr="00687FC9">
        <w:t xml:space="preserve"> — Help organizations set up and configure new tools correctly from the start, reducing the friction that comes from poor initial setup.</w:t>
      </w:r>
    </w:p>
    <w:p w14:paraId="78548C50" w14:textId="77777777" w:rsidR="00687FC9" w:rsidRPr="00687FC9" w:rsidRDefault="00687FC9" w:rsidP="00687FC9">
      <w:pPr>
        <w:numPr>
          <w:ilvl w:val="0"/>
          <w:numId w:val="23"/>
        </w:numPr>
      </w:pPr>
      <w:r w:rsidRPr="00687FC9">
        <w:rPr>
          <w:b/>
          <w:bCs/>
        </w:rPr>
        <w:t>User Guide Creation</w:t>
      </w:r>
      <w:r w:rsidRPr="00687FC9">
        <w:t xml:space="preserve"> — Develop plain-language, visually clear "how-to" guides for the </w:t>
      </w:r>
      <w:proofErr w:type="gramStart"/>
      <w:r w:rsidRPr="00687FC9">
        <w:t>most commonly used</w:t>
      </w:r>
      <w:proofErr w:type="gramEnd"/>
      <w:r w:rsidRPr="00687FC9">
        <w:t xml:space="preserve"> tools in the region.</w:t>
      </w:r>
    </w:p>
    <w:p w14:paraId="5E97C076" w14:textId="77777777" w:rsidR="00687FC9" w:rsidRPr="00687FC9" w:rsidRDefault="00687FC9" w:rsidP="00687FC9">
      <w:r w:rsidRPr="00687FC9">
        <w:pict w14:anchorId="5ADEA1A5">
          <v:rect id="_x0000_i1096" style="width:0;height:1.5pt" o:hralign="center" o:hrstd="t" o:hr="t" fillcolor="#a0a0a0" stroked="f"/>
        </w:pict>
      </w:r>
    </w:p>
    <w:p w14:paraId="7EBF622E" w14:textId="77777777" w:rsidR="00687FC9" w:rsidRPr="00687FC9" w:rsidRDefault="00687FC9" w:rsidP="00687FC9">
      <w:pPr>
        <w:rPr>
          <w:b/>
          <w:bCs/>
        </w:rPr>
      </w:pPr>
      <w:r w:rsidRPr="00687FC9">
        <w:rPr>
          <w:b/>
          <w:bCs/>
        </w:rPr>
        <w:t>7. Time Constraints</w:t>
      </w:r>
    </w:p>
    <w:p w14:paraId="0F266D75" w14:textId="77777777" w:rsidR="00687FC9" w:rsidRPr="00687FC9" w:rsidRDefault="00687FC9" w:rsidP="00687FC9">
      <w:r w:rsidRPr="00687FC9">
        <w:rPr>
          <w:b/>
          <w:bCs/>
        </w:rPr>
        <w:t>Strategies:</w:t>
      </w:r>
    </w:p>
    <w:p w14:paraId="5041E6F6" w14:textId="77777777" w:rsidR="00687FC9" w:rsidRPr="00687FC9" w:rsidRDefault="00687FC9" w:rsidP="00687FC9">
      <w:pPr>
        <w:numPr>
          <w:ilvl w:val="0"/>
          <w:numId w:val="24"/>
        </w:numPr>
      </w:pPr>
      <w:r w:rsidRPr="00687FC9">
        <w:rPr>
          <w:b/>
          <w:bCs/>
        </w:rPr>
        <w:t>Micro-Learning Formats</w:t>
      </w:r>
      <w:r w:rsidRPr="00687FC9">
        <w:t xml:space="preserve"> — Offer short (10–20 minute) self-paced modules that staff can complete during natural breaks in their workday rather than requiring full-day training commitments.</w:t>
      </w:r>
    </w:p>
    <w:p w14:paraId="0B4653D2" w14:textId="77777777" w:rsidR="00687FC9" w:rsidRPr="00687FC9" w:rsidRDefault="00687FC9" w:rsidP="00687FC9">
      <w:pPr>
        <w:numPr>
          <w:ilvl w:val="0"/>
          <w:numId w:val="24"/>
        </w:numPr>
      </w:pPr>
      <w:r w:rsidRPr="00687FC9">
        <w:rPr>
          <w:b/>
          <w:bCs/>
        </w:rPr>
        <w:t>Embedded Learning</w:t>
      </w:r>
      <w:r w:rsidRPr="00687FC9">
        <w:t xml:space="preserve"> — Design training that happens </w:t>
      </w:r>
      <w:r w:rsidRPr="00687FC9">
        <w:rPr>
          <w:i/>
          <w:iCs/>
        </w:rPr>
        <w:t>within</w:t>
      </w:r>
      <w:r w:rsidRPr="00687FC9">
        <w:t xml:space="preserve"> existing workflows and meetings rather than as a separate obligation.</w:t>
      </w:r>
    </w:p>
    <w:p w14:paraId="240A5AB6" w14:textId="77777777" w:rsidR="00687FC9" w:rsidRPr="00687FC9" w:rsidRDefault="00687FC9" w:rsidP="00687FC9">
      <w:pPr>
        <w:numPr>
          <w:ilvl w:val="0"/>
          <w:numId w:val="24"/>
        </w:numPr>
      </w:pPr>
      <w:r w:rsidRPr="00687FC9">
        <w:rPr>
          <w:b/>
          <w:bCs/>
        </w:rPr>
        <w:t>Flexible Scheduling</w:t>
      </w:r>
      <w:r w:rsidRPr="00687FC9">
        <w:t xml:space="preserve"> — Provide training options across different times of day and via asynchronous video to accommodate varying staff schedules, especially in small organizations.</w:t>
      </w:r>
    </w:p>
    <w:p w14:paraId="3C46AD2B" w14:textId="77777777" w:rsidR="00687FC9" w:rsidRPr="00687FC9" w:rsidRDefault="00687FC9" w:rsidP="00687FC9">
      <w:pPr>
        <w:numPr>
          <w:ilvl w:val="0"/>
          <w:numId w:val="24"/>
        </w:numPr>
      </w:pPr>
      <w:r w:rsidRPr="00687FC9">
        <w:rPr>
          <w:b/>
          <w:bCs/>
        </w:rPr>
        <w:t>Prioritized Recommendations</w:t>
      </w:r>
      <w:r w:rsidRPr="00687FC9">
        <w:t xml:space="preserve"> — In assessment reports, </w:t>
      </w:r>
      <w:proofErr w:type="gramStart"/>
      <w:r w:rsidRPr="00687FC9">
        <w:t>clearly identify</w:t>
      </w:r>
      <w:proofErr w:type="gramEnd"/>
      <w:r w:rsidRPr="00687FC9">
        <w:t xml:space="preserve"> the highest-impact, lowest-effort improvements so organizations know where to start without feeling overwhelmed.</w:t>
      </w:r>
    </w:p>
    <w:p w14:paraId="7E6E152C" w14:textId="77777777" w:rsidR="00687FC9" w:rsidRPr="00687FC9" w:rsidRDefault="00687FC9" w:rsidP="00687FC9">
      <w:r w:rsidRPr="00687FC9">
        <w:pict w14:anchorId="29EC308D">
          <v:rect id="_x0000_i1097" style="width:0;height:1.5pt" o:hralign="center" o:hrstd="t" o:hr="t" fillcolor="#a0a0a0" stroked="f"/>
        </w:pict>
      </w:r>
    </w:p>
    <w:p w14:paraId="602F2EEB" w14:textId="77777777" w:rsidR="00687FC9" w:rsidRPr="00687FC9" w:rsidRDefault="00687FC9" w:rsidP="00687FC9">
      <w:pPr>
        <w:rPr>
          <w:b/>
          <w:bCs/>
        </w:rPr>
      </w:pPr>
      <w:r w:rsidRPr="00687FC9">
        <w:rPr>
          <w:b/>
          <w:bCs/>
        </w:rPr>
        <w:t>8. Cultural &amp; Language Barriers</w:t>
      </w:r>
    </w:p>
    <w:p w14:paraId="0D27E9FB" w14:textId="77777777" w:rsidR="00687FC9" w:rsidRPr="00687FC9" w:rsidRDefault="00687FC9" w:rsidP="00687FC9">
      <w:r w:rsidRPr="00687FC9">
        <w:rPr>
          <w:b/>
          <w:bCs/>
        </w:rPr>
        <w:t>Strategies:</w:t>
      </w:r>
    </w:p>
    <w:p w14:paraId="4F47F848" w14:textId="77777777" w:rsidR="00687FC9" w:rsidRPr="00687FC9" w:rsidRDefault="00687FC9" w:rsidP="00687FC9">
      <w:pPr>
        <w:numPr>
          <w:ilvl w:val="0"/>
          <w:numId w:val="25"/>
        </w:numPr>
      </w:pPr>
      <w:r w:rsidRPr="00687FC9">
        <w:rPr>
          <w:b/>
          <w:bCs/>
        </w:rPr>
        <w:t>Culturally Grounded Content</w:t>
      </w:r>
      <w:r w:rsidRPr="00687FC9">
        <w:t xml:space="preserve"> — Develop training examples and scenarios that reflect Arctic Slope community contexts — local governance, subsistence, village life — rather than generic urban or corporate examples.</w:t>
      </w:r>
    </w:p>
    <w:p w14:paraId="170CC18B" w14:textId="77777777" w:rsidR="00687FC9" w:rsidRPr="00687FC9" w:rsidRDefault="00687FC9" w:rsidP="00687FC9">
      <w:pPr>
        <w:numPr>
          <w:ilvl w:val="0"/>
          <w:numId w:val="25"/>
        </w:numPr>
      </w:pPr>
      <w:r w:rsidRPr="00687FC9">
        <w:rPr>
          <w:b/>
          <w:bCs/>
        </w:rPr>
        <w:t>Multilingual Resources</w:t>
      </w:r>
      <w:r w:rsidRPr="00687FC9">
        <w:t xml:space="preserve"> — Where feasible, translate key materials into Iñupiaq and other languages spoken in the region. Partner with local language programs to ensure accuracy and cultural appropriateness.</w:t>
      </w:r>
    </w:p>
    <w:p w14:paraId="5F69ADBD" w14:textId="77777777" w:rsidR="00687FC9" w:rsidRPr="00687FC9" w:rsidRDefault="00687FC9" w:rsidP="00687FC9">
      <w:pPr>
        <w:numPr>
          <w:ilvl w:val="0"/>
          <w:numId w:val="25"/>
        </w:numPr>
      </w:pPr>
      <w:r w:rsidRPr="00687FC9">
        <w:rPr>
          <w:b/>
          <w:bCs/>
        </w:rPr>
        <w:t>Community-Led Design</w:t>
      </w:r>
      <w:r w:rsidRPr="00687FC9">
        <w:t xml:space="preserve"> — Involve community members in reviewing and shaping training content before it's deployed, ensuring cultural relevance and buy-in.</w:t>
      </w:r>
    </w:p>
    <w:p w14:paraId="743B06FF" w14:textId="77777777" w:rsidR="00687FC9" w:rsidRPr="00687FC9" w:rsidRDefault="00687FC9" w:rsidP="00687FC9">
      <w:pPr>
        <w:numPr>
          <w:ilvl w:val="0"/>
          <w:numId w:val="25"/>
        </w:numPr>
      </w:pPr>
      <w:r w:rsidRPr="00687FC9">
        <w:rPr>
          <w:b/>
          <w:bCs/>
        </w:rPr>
        <w:t>Trusted Messengers</w:t>
      </w:r>
      <w:r w:rsidRPr="00687FC9">
        <w:t xml:space="preserve"> — Deliver training through individuals who are already trusted within the community, rather than outside experts alone.</w:t>
      </w:r>
    </w:p>
    <w:p w14:paraId="17884E97" w14:textId="77777777" w:rsidR="00687FC9" w:rsidRPr="00687FC9" w:rsidRDefault="00687FC9" w:rsidP="00687FC9">
      <w:r w:rsidRPr="00687FC9">
        <w:lastRenderedPageBreak/>
        <w:pict w14:anchorId="650F637E">
          <v:rect id="_x0000_i1098" style="width:0;height:1.5pt" o:hralign="center" o:hrstd="t" o:hr="t" fillcolor="#a0a0a0" stroked="f"/>
        </w:pict>
      </w:r>
    </w:p>
    <w:p w14:paraId="633BA456" w14:textId="77777777" w:rsidR="00687FC9" w:rsidRPr="00687FC9" w:rsidRDefault="00687FC9" w:rsidP="00687FC9">
      <w:pPr>
        <w:rPr>
          <w:b/>
          <w:bCs/>
        </w:rPr>
      </w:pPr>
      <w:r w:rsidRPr="00687FC9">
        <w:rPr>
          <w:b/>
          <w:bCs/>
        </w:rPr>
        <w:t>9. Resource Constraints in Organizations</w:t>
      </w:r>
    </w:p>
    <w:p w14:paraId="021C5AE7" w14:textId="77777777" w:rsidR="00687FC9" w:rsidRPr="00687FC9" w:rsidRDefault="00687FC9" w:rsidP="00687FC9">
      <w:r w:rsidRPr="00687FC9">
        <w:rPr>
          <w:b/>
          <w:bCs/>
        </w:rPr>
        <w:t>Strategies:</w:t>
      </w:r>
    </w:p>
    <w:p w14:paraId="14D7F35D" w14:textId="77777777" w:rsidR="00687FC9" w:rsidRPr="00687FC9" w:rsidRDefault="00687FC9" w:rsidP="00687FC9">
      <w:pPr>
        <w:numPr>
          <w:ilvl w:val="0"/>
          <w:numId w:val="26"/>
        </w:numPr>
      </w:pPr>
      <w:r w:rsidRPr="00687FC9">
        <w:rPr>
          <w:b/>
          <w:bCs/>
        </w:rPr>
        <w:t>Grant Readiness Support</w:t>
      </w:r>
      <w:r w:rsidRPr="00687FC9">
        <w:t xml:space="preserve"> — Use the digital needs assessment report as a direct input for grant applications, helping organizations document their gaps and justify funding requests for technology and training.</w:t>
      </w:r>
    </w:p>
    <w:p w14:paraId="3B9FE70B" w14:textId="77777777" w:rsidR="00687FC9" w:rsidRPr="00687FC9" w:rsidRDefault="00687FC9" w:rsidP="00687FC9">
      <w:pPr>
        <w:numPr>
          <w:ilvl w:val="0"/>
          <w:numId w:val="26"/>
        </w:numPr>
      </w:pPr>
      <w:r w:rsidRPr="00687FC9">
        <w:rPr>
          <w:b/>
          <w:bCs/>
        </w:rPr>
        <w:t>Low-Cost &amp; Free Tool Recommendations</w:t>
      </w:r>
      <w:r w:rsidRPr="00687FC9">
        <w:t xml:space="preserve"> — Proactively identify and share free or nonprofit-discounted tools (e.g., Microsoft 365 for Nonprofits, Google for Nonprofits, TechSoup) that stretch limited budgets.</w:t>
      </w:r>
    </w:p>
    <w:p w14:paraId="006F5A94" w14:textId="77777777" w:rsidR="00687FC9" w:rsidRPr="00687FC9" w:rsidRDefault="00687FC9" w:rsidP="00687FC9">
      <w:pPr>
        <w:numPr>
          <w:ilvl w:val="0"/>
          <w:numId w:val="26"/>
        </w:numPr>
      </w:pPr>
      <w:r w:rsidRPr="00687FC9">
        <w:rPr>
          <w:b/>
          <w:bCs/>
        </w:rPr>
        <w:t>Shared Services Model</w:t>
      </w:r>
      <w:r w:rsidRPr="00687FC9">
        <w:t xml:space="preserve"> — Where multiple small organizations have the same need, explore opportunities to share costs — for example, a shared IT support contract or shared subscription to a cloud platform.</w:t>
      </w:r>
    </w:p>
    <w:p w14:paraId="4AF2A17A" w14:textId="77777777" w:rsidR="00687FC9" w:rsidRPr="00687FC9" w:rsidRDefault="00687FC9" w:rsidP="00687FC9">
      <w:pPr>
        <w:numPr>
          <w:ilvl w:val="0"/>
          <w:numId w:val="26"/>
        </w:numPr>
      </w:pPr>
      <w:r w:rsidRPr="00687FC9">
        <w:rPr>
          <w:b/>
          <w:bCs/>
        </w:rPr>
        <w:t>Phased Implementation Plans</w:t>
      </w:r>
      <w:r w:rsidRPr="00687FC9">
        <w:t xml:space="preserve"> — Help organizations sequence improvements over time so progress doesn't require large upfront investments, making digital improvement achievable on constrained budgets.</w:t>
      </w:r>
    </w:p>
    <w:p w14:paraId="5929AAA0" w14:textId="77777777" w:rsidR="00687FC9" w:rsidRPr="00687FC9" w:rsidRDefault="00687FC9" w:rsidP="00687FC9">
      <w:r w:rsidRPr="00687FC9">
        <w:pict w14:anchorId="1A68C38D">
          <v:rect id="_x0000_i1099" style="width:0;height:1.5pt" o:hralign="center" o:hrstd="t" o:hr="t" fillcolor="#a0a0a0" stroked="f"/>
        </w:pict>
      </w:r>
    </w:p>
    <w:p w14:paraId="2E83913F" w14:textId="77777777" w:rsidR="00687FC9" w:rsidRPr="00687FC9" w:rsidRDefault="00687FC9" w:rsidP="00687FC9">
      <w:pPr>
        <w:rPr>
          <w:b/>
          <w:bCs/>
        </w:rPr>
      </w:pPr>
      <w:r w:rsidRPr="00687FC9">
        <w:rPr>
          <w:b/>
          <w:bCs/>
        </w:rPr>
        <w:t>Overarching Agency Principles</w:t>
      </w:r>
    </w:p>
    <w:p w14:paraId="0867DE8E" w14:textId="77777777" w:rsidR="00687FC9" w:rsidRPr="00687FC9" w:rsidRDefault="00687FC9" w:rsidP="00687FC9">
      <w:r w:rsidRPr="00687FC9">
        <w:t>Across all nine barriers, the most effective agency responses share a few common threads:</w:t>
      </w:r>
    </w:p>
    <w:p w14:paraId="13D197B3" w14:textId="77777777" w:rsidR="00687FC9" w:rsidRPr="00687FC9" w:rsidRDefault="00687FC9" w:rsidP="00687FC9">
      <w:pPr>
        <w:numPr>
          <w:ilvl w:val="0"/>
          <w:numId w:val="27"/>
        </w:numPr>
      </w:pPr>
      <w:r w:rsidRPr="00687FC9">
        <w:rPr>
          <w:b/>
          <w:bCs/>
        </w:rPr>
        <w:t>Start with listening.</w:t>
      </w:r>
      <w:r w:rsidRPr="00687FC9">
        <w:t xml:space="preserve"> Needs vary significantly by organization and community. The assessment phase isn't just data collection — it builds the trust necessary for any intervention to work.</w:t>
      </w:r>
    </w:p>
    <w:p w14:paraId="6AB564A6" w14:textId="77777777" w:rsidR="00687FC9" w:rsidRPr="00687FC9" w:rsidRDefault="00687FC9" w:rsidP="00687FC9">
      <w:pPr>
        <w:numPr>
          <w:ilvl w:val="0"/>
          <w:numId w:val="27"/>
        </w:numPr>
      </w:pPr>
      <w:r w:rsidRPr="00687FC9">
        <w:rPr>
          <w:b/>
          <w:bCs/>
        </w:rPr>
        <w:t>Build internal capacity, not dependency.</w:t>
      </w:r>
      <w:r w:rsidRPr="00687FC9">
        <w:t xml:space="preserve"> The goal is to leave each organization more capable of sustaining and expanding its own digital literacy, not reliant on ongoing outside support.</w:t>
      </w:r>
    </w:p>
    <w:p w14:paraId="4BE31E1A" w14:textId="77777777" w:rsidR="00687FC9" w:rsidRPr="00687FC9" w:rsidRDefault="00687FC9" w:rsidP="00687FC9">
      <w:pPr>
        <w:numPr>
          <w:ilvl w:val="0"/>
          <w:numId w:val="27"/>
        </w:numPr>
      </w:pPr>
      <w:proofErr w:type="gramStart"/>
      <w:r w:rsidRPr="00687FC9">
        <w:rPr>
          <w:b/>
          <w:bCs/>
        </w:rPr>
        <w:t>Connect</w:t>
      </w:r>
      <w:proofErr w:type="gramEnd"/>
      <w:r w:rsidRPr="00687FC9">
        <w:rPr>
          <w:b/>
          <w:bCs/>
        </w:rPr>
        <w:t xml:space="preserve"> people to each other.</w:t>
      </w:r>
      <w:r w:rsidRPr="00687FC9">
        <w:t xml:space="preserve"> Many of the most powerful solutions aren't programs — they're relationships. Peer networks, navigators, and mentors multiply the agency's reach far beyond what direct service alone can achieve.</w:t>
      </w:r>
    </w:p>
    <w:p w14:paraId="6306B791" w14:textId="77777777" w:rsidR="00687FC9" w:rsidRPr="00687FC9" w:rsidRDefault="00687FC9" w:rsidP="00687FC9">
      <w:pPr>
        <w:numPr>
          <w:ilvl w:val="0"/>
          <w:numId w:val="27"/>
        </w:numPr>
      </w:pPr>
      <w:r w:rsidRPr="00687FC9">
        <w:rPr>
          <w:b/>
          <w:bCs/>
        </w:rPr>
        <w:t>Document and advocate.</w:t>
      </w:r>
      <w:r w:rsidRPr="00687FC9">
        <w:t xml:space="preserve"> Aggregated regional data from assessments gives the agency a powerful voice to advocate for infrastructure investment, policy change, and funding on behalf of communities.</w:t>
      </w:r>
    </w:p>
    <w:p w14:paraId="23186615" w14:textId="77777777" w:rsidR="00687FC9" w:rsidRDefault="00687FC9"/>
    <w:sectPr w:rsidR="0068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02A"/>
    <w:multiLevelType w:val="multilevel"/>
    <w:tmpl w:val="F8FA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EFE"/>
    <w:multiLevelType w:val="multilevel"/>
    <w:tmpl w:val="C62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07380"/>
    <w:multiLevelType w:val="multilevel"/>
    <w:tmpl w:val="9A2C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90C"/>
    <w:multiLevelType w:val="multilevel"/>
    <w:tmpl w:val="280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3F0D"/>
    <w:multiLevelType w:val="multilevel"/>
    <w:tmpl w:val="4C36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C194A"/>
    <w:multiLevelType w:val="multilevel"/>
    <w:tmpl w:val="ACB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D2265"/>
    <w:multiLevelType w:val="multilevel"/>
    <w:tmpl w:val="579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5315"/>
    <w:multiLevelType w:val="multilevel"/>
    <w:tmpl w:val="25F2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D394B"/>
    <w:multiLevelType w:val="multilevel"/>
    <w:tmpl w:val="81E8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163D3"/>
    <w:multiLevelType w:val="multilevel"/>
    <w:tmpl w:val="BD0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364C4"/>
    <w:multiLevelType w:val="multilevel"/>
    <w:tmpl w:val="FC94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D75DB"/>
    <w:multiLevelType w:val="multilevel"/>
    <w:tmpl w:val="485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21B80"/>
    <w:multiLevelType w:val="multilevel"/>
    <w:tmpl w:val="6F26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12330"/>
    <w:multiLevelType w:val="multilevel"/>
    <w:tmpl w:val="673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D25BA"/>
    <w:multiLevelType w:val="multilevel"/>
    <w:tmpl w:val="0E6E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E15B0"/>
    <w:multiLevelType w:val="multilevel"/>
    <w:tmpl w:val="79D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A0EE9"/>
    <w:multiLevelType w:val="multilevel"/>
    <w:tmpl w:val="659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327CC"/>
    <w:multiLevelType w:val="multilevel"/>
    <w:tmpl w:val="C86A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01D61"/>
    <w:multiLevelType w:val="multilevel"/>
    <w:tmpl w:val="7D9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40FD0"/>
    <w:multiLevelType w:val="multilevel"/>
    <w:tmpl w:val="9728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95C09"/>
    <w:multiLevelType w:val="multilevel"/>
    <w:tmpl w:val="027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293F"/>
    <w:multiLevelType w:val="multilevel"/>
    <w:tmpl w:val="1BC2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E7542"/>
    <w:multiLevelType w:val="multilevel"/>
    <w:tmpl w:val="801C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A1924"/>
    <w:multiLevelType w:val="multilevel"/>
    <w:tmpl w:val="49B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A6298"/>
    <w:multiLevelType w:val="multilevel"/>
    <w:tmpl w:val="627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8756A0"/>
    <w:multiLevelType w:val="multilevel"/>
    <w:tmpl w:val="FD7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53271"/>
    <w:multiLevelType w:val="multilevel"/>
    <w:tmpl w:val="A54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738637">
    <w:abstractNumId w:val="5"/>
  </w:num>
  <w:num w:numId="2" w16cid:durableId="1354648062">
    <w:abstractNumId w:val="21"/>
  </w:num>
  <w:num w:numId="3" w16cid:durableId="1994215801">
    <w:abstractNumId w:val="16"/>
  </w:num>
  <w:num w:numId="4" w16cid:durableId="1976369461">
    <w:abstractNumId w:val="11"/>
  </w:num>
  <w:num w:numId="5" w16cid:durableId="1224216105">
    <w:abstractNumId w:val="25"/>
  </w:num>
  <w:num w:numId="6" w16cid:durableId="855116799">
    <w:abstractNumId w:val="22"/>
  </w:num>
  <w:num w:numId="7" w16cid:durableId="647366849">
    <w:abstractNumId w:val="14"/>
  </w:num>
  <w:num w:numId="8" w16cid:durableId="653722137">
    <w:abstractNumId w:val="4"/>
  </w:num>
  <w:num w:numId="9" w16cid:durableId="222178142">
    <w:abstractNumId w:val="7"/>
  </w:num>
  <w:num w:numId="10" w16cid:durableId="344864474">
    <w:abstractNumId w:val="6"/>
  </w:num>
  <w:num w:numId="11" w16cid:durableId="521632158">
    <w:abstractNumId w:val="0"/>
  </w:num>
  <w:num w:numId="12" w16cid:durableId="517542959">
    <w:abstractNumId w:val="24"/>
  </w:num>
  <w:num w:numId="13" w16cid:durableId="1927306525">
    <w:abstractNumId w:val="26"/>
  </w:num>
  <w:num w:numId="14" w16cid:durableId="2130317307">
    <w:abstractNumId w:val="20"/>
  </w:num>
  <w:num w:numId="15" w16cid:durableId="714356291">
    <w:abstractNumId w:val="10"/>
  </w:num>
  <w:num w:numId="16" w16cid:durableId="403651506">
    <w:abstractNumId w:val="19"/>
  </w:num>
  <w:num w:numId="17" w16cid:durableId="1852986378">
    <w:abstractNumId w:val="15"/>
  </w:num>
  <w:num w:numId="18" w16cid:durableId="1826626550">
    <w:abstractNumId w:val="3"/>
  </w:num>
  <w:num w:numId="19" w16cid:durableId="972712035">
    <w:abstractNumId w:val="18"/>
  </w:num>
  <w:num w:numId="20" w16cid:durableId="1144618629">
    <w:abstractNumId w:val="23"/>
  </w:num>
  <w:num w:numId="21" w16cid:durableId="766509064">
    <w:abstractNumId w:val="2"/>
  </w:num>
  <w:num w:numId="22" w16cid:durableId="919829536">
    <w:abstractNumId w:val="13"/>
  </w:num>
  <w:num w:numId="23" w16cid:durableId="688334485">
    <w:abstractNumId w:val="8"/>
  </w:num>
  <w:num w:numId="24" w16cid:durableId="1912618965">
    <w:abstractNumId w:val="17"/>
  </w:num>
  <w:num w:numId="25" w16cid:durableId="498888863">
    <w:abstractNumId w:val="1"/>
  </w:num>
  <w:num w:numId="26" w16cid:durableId="19823635">
    <w:abstractNumId w:val="12"/>
  </w:num>
  <w:num w:numId="27" w16cid:durableId="310717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27"/>
    <w:rsid w:val="000A0DC1"/>
    <w:rsid w:val="000E3CF6"/>
    <w:rsid w:val="0057341A"/>
    <w:rsid w:val="00632D92"/>
    <w:rsid w:val="00687FC9"/>
    <w:rsid w:val="007375DF"/>
    <w:rsid w:val="00812E60"/>
    <w:rsid w:val="00875675"/>
    <w:rsid w:val="00DA35FA"/>
    <w:rsid w:val="00EC68FD"/>
    <w:rsid w:val="00F55427"/>
    <w:rsid w:val="00F7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B171"/>
  <w15:chartTrackingRefBased/>
  <w15:docId w15:val="{A684393D-0210-4D7D-892A-42EECD26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427"/>
    <w:rPr>
      <w:rFonts w:eastAsiaTheme="majorEastAsia" w:cstheme="majorBidi"/>
      <w:color w:val="272727" w:themeColor="text1" w:themeTint="D8"/>
    </w:rPr>
  </w:style>
  <w:style w:type="paragraph" w:styleId="Title">
    <w:name w:val="Title"/>
    <w:basedOn w:val="Normal"/>
    <w:next w:val="Normal"/>
    <w:link w:val="TitleChar"/>
    <w:uiPriority w:val="10"/>
    <w:qFormat/>
    <w:rsid w:val="00F5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427"/>
    <w:pPr>
      <w:spacing w:before="160"/>
      <w:jc w:val="center"/>
    </w:pPr>
    <w:rPr>
      <w:i/>
      <w:iCs/>
      <w:color w:val="404040" w:themeColor="text1" w:themeTint="BF"/>
    </w:rPr>
  </w:style>
  <w:style w:type="character" w:customStyle="1" w:styleId="QuoteChar">
    <w:name w:val="Quote Char"/>
    <w:basedOn w:val="DefaultParagraphFont"/>
    <w:link w:val="Quote"/>
    <w:uiPriority w:val="29"/>
    <w:rsid w:val="00F55427"/>
    <w:rPr>
      <w:i/>
      <w:iCs/>
      <w:color w:val="404040" w:themeColor="text1" w:themeTint="BF"/>
    </w:rPr>
  </w:style>
  <w:style w:type="paragraph" w:styleId="ListParagraph">
    <w:name w:val="List Paragraph"/>
    <w:basedOn w:val="Normal"/>
    <w:uiPriority w:val="34"/>
    <w:qFormat/>
    <w:rsid w:val="00F55427"/>
    <w:pPr>
      <w:ind w:left="720"/>
      <w:contextualSpacing/>
    </w:pPr>
  </w:style>
  <w:style w:type="character" w:styleId="IntenseEmphasis">
    <w:name w:val="Intense Emphasis"/>
    <w:basedOn w:val="DefaultParagraphFont"/>
    <w:uiPriority w:val="21"/>
    <w:qFormat/>
    <w:rsid w:val="00F55427"/>
    <w:rPr>
      <w:i/>
      <w:iCs/>
      <w:color w:val="0F4761" w:themeColor="accent1" w:themeShade="BF"/>
    </w:rPr>
  </w:style>
  <w:style w:type="paragraph" w:styleId="IntenseQuote">
    <w:name w:val="Intense Quote"/>
    <w:basedOn w:val="Normal"/>
    <w:next w:val="Normal"/>
    <w:link w:val="IntenseQuoteChar"/>
    <w:uiPriority w:val="30"/>
    <w:qFormat/>
    <w:rsid w:val="00F55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427"/>
    <w:rPr>
      <w:i/>
      <w:iCs/>
      <w:color w:val="0F4761" w:themeColor="accent1" w:themeShade="BF"/>
    </w:rPr>
  </w:style>
  <w:style w:type="character" w:styleId="IntenseReference">
    <w:name w:val="Intense Reference"/>
    <w:basedOn w:val="DefaultParagraphFont"/>
    <w:uiPriority w:val="32"/>
    <w:qFormat/>
    <w:rsid w:val="00F55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a7bbe4-f2da-49c9-9fb9-227bb88b497c}" enabled="1" method="Standard" siteId="{82904411-315c-407f-8131-bcc1ea4fa0cb}"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9</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Arctic Slope Regional Corporation</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Esparza, Ray</dc:creator>
  <cp:keywords/>
  <dc:description/>
  <cp:lastModifiedBy>Cahoon, Richard</cp:lastModifiedBy>
  <cp:revision>3</cp:revision>
  <dcterms:created xsi:type="dcterms:W3CDTF">2026-05-12T23:14:00Z</dcterms:created>
  <dcterms:modified xsi:type="dcterms:W3CDTF">2026-05-14T00:28:00Z</dcterms:modified>
</cp:coreProperties>
</file>